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1740"/>
        <w:gridCol w:w="2362"/>
        <w:gridCol w:w="2363"/>
        <w:gridCol w:w="2363"/>
      </w:tblGrid>
      <w:tr w:rsidR="00E616B6" w:rsidRPr="00A200BC" w14:paraId="79A58AD8" w14:textId="77777777" w:rsidTr="00CD4F5D">
        <w:tc>
          <w:tcPr>
            <w:tcW w:w="1740" w:type="dxa"/>
          </w:tcPr>
          <w:p w14:paraId="4924C373" w14:textId="77777777" w:rsidR="00E616B6" w:rsidRPr="00A200BC" w:rsidRDefault="00E616B6" w:rsidP="00CD4F5D">
            <w:pPr>
              <w:rPr>
                <w:rFonts w:ascii="Century Gothic" w:hAnsi="Century Gothic"/>
                <w:sz w:val="22"/>
                <w:szCs w:val="22"/>
              </w:rPr>
            </w:pPr>
            <w:r w:rsidRPr="00A200BC">
              <w:rPr>
                <w:rFonts w:ascii="Century Gothic" w:hAnsi="Century Gothic"/>
                <w:sz w:val="22"/>
                <w:szCs w:val="22"/>
              </w:rPr>
              <w:t>Número</w:t>
            </w:r>
          </w:p>
        </w:tc>
        <w:tc>
          <w:tcPr>
            <w:tcW w:w="7088" w:type="dxa"/>
            <w:gridSpan w:val="3"/>
          </w:tcPr>
          <w:p w14:paraId="226AE37A" w14:textId="77777777" w:rsidR="00E616B6" w:rsidRPr="00A200BC" w:rsidRDefault="00E616B6" w:rsidP="00CD4F5D">
            <w:pPr>
              <w:rPr>
                <w:rFonts w:ascii="Century Gothic" w:hAnsi="Century Gothic"/>
                <w:sz w:val="22"/>
                <w:szCs w:val="22"/>
              </w:rPr>
            </w:pPr>
            <w:r w:rsidRPr="00A200BC">
              <w:rPr>
                <w:rFonts w:ascii="Century Gothic" w:hAnsi="Century Gothic" w:cstheme="minorBidi"/>
                <w:noProof/>
                <w:sz w:val="22"/>
                <w:szCs w:val="22"/>
              </w:rPr>
              <w:t>65</w:t>
            </w:r>
          </w:p>
        </w:tc>
      </w:tr>
      <w:tr w:rsidR="00E616B6" w:rsidRPr="00A200BC" w14:paraId="48EF4A8B" w14:textId="77777777" w:rsidTr="00CD4F5D">
        <w:tc>
          <w:tcPr>
            <w:tcW w:w="1740" w:type="dxa"/>
          </w:tcPr>
          <w:p w14:paraId="5ECC8444" w14:textId="77777777" w:rsidR="00E616B6" w:rsidRPr="00A200BC" w:rsidRDefault="00E616B6" w:rsidP="00CD4F5D">
            <w:pPr>
              <w:rPr>
                <w:rFonts w:ascii="Century Gothic" w:hAnsi="Century Gothic"/>
                <w:sz w:val="22"/>
                <w:szCs w:val="22"/>
              </w:rPr>
            </w:pPr>
            <w:r w:rsidRPr="00A200BC">
              <w:rPr>
                <w:rFonts w:ascii="Century Gothic" w:hAnsi="Century Gothic"/>
                <w:sz w:val="22"/>
                <w:szCs w:val="22"/>
              </w:rPr>
              <w:t>Línea</w:t>
            </w:r>
          </w:p>
        </w:tc>
        <w:tc>
          <w:tcPr>
            <w:tcW w:w="7088" w:type="dxa"/>
            <w:gridSpan w:val="3"/>
          </w:tcPr>
          <w:p w14:paraId="66FB1205" w14:textId="77777777" w:rsidR="00E616B6" w:rsidRPr="00A200BC" w:rsidRDefault="00E616B6" w:rsidP="00CD4F5D">
            <w:pPr>
              <w:rPr>
                <w:rFonts w:ascii="Century Gothic" w:hAnsi="Century Gothic"/>
                <w:sz w:val="22"/>
                <w:szCs w:val="22"/>
              </w:rPr>
            </w:pPr>
            <w:r w:rsidRPr="00A200BC">
              <w:rPr>
                <w:rFonts w:ascii="Century Gothic" w:hAnsi="Century Gothic" w:cstheme="minorBidi"/>
                <w:noProof/>
                <w:sz w:val="22"/>
                <w:szCs w:val="22"/>
              </w:rPr>
              <w:t>Reflexión sobre el campo de conocimiento de la metodología</w:t>
            </w:r>
          </w:p>
        </w:tc>
      </w:tr>
      <w:tr w:rsidR="00E616B6" w:rsidRPr="00A200BC" w14:paraId="09E2C71F" w14:textId="77777777" w:rsidTr="00CD4F5D">
        <w:trPr>
          <w:trHeight w:val="489"/>
        </w:trPr>
        <w:tc>
          <w:tcPr>
            <w:tcW w:w="1740" w:type="dxa"/>
          </w:tcPr>
          <w:p w14:paraId="1F0B9296" w14:textId="4BCE52A5" w:rsidR="00E616B6" w:rsidRPr="00A200BC" w:rsidRDefault="00E616B6" w:rsidP="00CD4F5D">
            <w:pPr>
              <w:rPr>
                <w:rFonts w:ascii="Century Gothic" w:eastAsia="Times New Roman" w:hAnsi="Century Gothic" w:cs="Arial"/>
                <w:color w:val="000000"/>
                <w:sz w:val="22"/>
                <w:szCs w:val="22"/>
              </w:rPr>
            </w:pPr>
            <w:r w:rsidRPr="00A200BC">
              <w:rPr>
                <w:rFonts w:ascii="Century Gothic" w:eastAsia="Times New Roman" w:hAnsi="Century Gothic" w:cs="Arial"/>
                <w:color w:val="000000"/>
                <w:sz w:val="22"/>
                <w:szCs w:val="22"/>
              </w:rPr>
              <w:t>Nombre de la Pone</w:t>
            </w:r>
            <w:r w:rsidR="00054C1E">
              <w:rPr>
                <w:rFonts w:ascii="Century Gothic" w:eastAsia="Times New Roman" w:hAnsi="Century Gothic" w:cs="Arial"/>
                <w:color w:val="000000"/>
                <w:sz w:val="22"/>
                <w:szCs w:val="22"/>
              </w:rPr>
              <w:t>n</w:t>
            </w:r>
            <w:r w:rsidRPr="00A200BC">
              <w:rPr>
                <w:rFonts w:ascii="Century Gothic" w:eastAsia="Times New Roman" w:hAnsi="Century Gothic" w:cs="Arial"/>
                <w:color w:val="000000"/>
                <w:sz w:val="22"/>
                <w:szCs w:val="22"/>
              </w:rPr>
              <w:t>cia</w:t>
            </w:r>
          </w:p>
        </w:tc>
        <w:tc>
          <w:tcPr>
            <w:tcW w:w="7088" w:type="dxa"/>
            <w:gridSpan w:val="3"/>
          </w:tcPr>
          <w:p w14:paraId="1A034109" w14:textId="77777777" w:rsidR="00E616B6" w:rsidRPr="00A200BC" w:rsidRDefault="00E616B6" w:rsidP="00CD4F5D">
            <w:pPr>
              <w:rPr>
                <w:rFonts w:ascii="Century Gothic" w:hAnsi="Century Gothic"/>
                <w:sz w:val="22"/>
                <w:szCs w:val="22"/>
              </w:rPr>
            </w:pPr>
            <w:r w:rsidRPr="00A200BC">
              <w:rPr>
                <w:rFonts w:ascii="Century Gothic" w:hAnsi="Century Gothic" w:cstheme="minorBidi"/>
                <w:noProof/>
                <w:sz w:val="22"/>
                <w:szCs w:val="22"/>
              </w:rPr>
              <w:t xml:space="preserve">APRENDIZAJE Y SERVICIO: EL DESAFÍO DE LA INTERDISCIPLINARIEDAD </w:t>
            </w:r>
          </w:p>
        </w:tc>
      </w:tr>
      <w:tr w:rsidR="00E616B6" w:rsidRPr="00A200BC" w14:paraId="057F93D2" w14:textId="77777777" w:rsidTr="00CD4F5D">
        <w:trPr>
          <w:trHeight w:val="489"/>
        </w:trPr>
        <w:tc>
          <w:tcPr>
            <w:tcW w:w="1740" w:type="dxa"/>
          </w:tcPr>
          <w:p w14:paraId="5BFDA35D" w14:textId="77777777" w:rsidR="00E616B6" w:rsidRPr="00A200BC" w:rsidRDefault="00E616B6" w:rsidP="00CD4F5D">
            <w:pPr>
              <w:rPr>
                <w:rFonts w:ascii="Century Gothic" w:eastAsia="Times New Roman" w:hAnsi="Century Gothic" w:cs="Arial"/>
                <w:color w:val="000000"/>
                <w:sz w:val="22"/>
                <w:szCs w:val="22"/>
              </w:rPr>
            </w:pPr>
            <w:r w:rsidRPr="00A200BC">
              <w:rPr>
                <w:rFonts w:ascii="Century Gothic" w:eastAsia="Times New Roman" w:hAnsi="Century Gothic" w:cs="Arial"/>
                <w:color w:val="000000"/>
                <w:sz w:val="22"/>
                <w:szCs w:val="22"/>
              </w:rPr>
              <w:t>Expositor 1</w:t>
            </w:r>
          </w:p>
        </w:tc>
        <w:tc>
          <w:tcPr>
            <w:tcW w:w="7088" w:type="dxa"/>
            <w:gridSpan w:val="3"/>
          </w:tcPr>
          <w:p w14:paraId="2C70FBFB" w14:textId="77777777" w:rsidR="00E616B6" w:rsidRPr="00A200BC" w:rsidRDefault="00E616B6" w:rsidP="00CD4F5D">
            <w:pPr>
              <w:rPr>
                <w:rFonts w:ascii="Century Gothic" w:hAnsi="Century Gothic"/>
                <w:sz w:val="22"/>
                <w:szCs w:val="22"/>
              </w:rPr>
            </w:pPr>
            <w:r w:rsidRPr="00A200BC">
              <w:rPr>
                <w:rFonts w:ascii="Century Gothic" w:hAnsi="Century Gothic" w:cstheme="minorBidi"/>
                <w:noProof/>
                <w:sz w:val="22"/>
                <w:szCs w:val="22"/>
              </w:rPr>
              <w:t>Carolina Astudillo Castro</w:t>
            </w:r>
          </w:p>
        </w:tc>
      </w:tr>
      <w:tr w:rsidR="00E616B6" w:rsidRPr="00A200BC" w14:paraId="28E20872" w14:textId="77777777" w:rsidTr="00CD4F5D">
        <w:tc>
          <w:tcPr>
            <w:tcW w:w="1740" w:type="dxa"/>
          </w:tcPr>
          <w:p w14:paraId="0A568548" w14:textId="77777777" w:rsidR="00E616B6" w:rsidRPr="00A200BC" w:rsidRDefault="00E616B6" w:rsidP="00CD4F5D">
            <w:pPr>
              <w:rPr>
                <w:rFonts w:ascii="Century Gothic" w:eastAsia="Times New Roman" w:hAnsi="Century Gothic" w:cs="Arial"/>
                <w:color w:val="000000"/>
                <w:sz w:val="22"/>
                <w:szCs w:val="22"/>
              </w:rPr>
            </w:pPr>
            <w:r w:rsidRPr="00A200BC">
              <w:rPr>
                <w:rFonts w:ascii="Century Gothic" w:eastAsia="Times New Roman" w:hAnsi="Century Gothic" w:cs="Arial"/>
                <w:color w:val="000000"/>
                <w:sz w:val="22"/>
                <w:szCs w:val="22"/>
              </w:rPr>
              <w:t>Expositor 2</w:t>
            </w:r>
          </w:p>
        </w:tc>
        <w:tc>
          <w:tcPr>
            <w:tcW w:w="7088" w:type="dxa"/>
            <w:gridSpan w:val="3"/>
          </w:tcPr>
          <w:p w14:paraId="3443D228" w14:textId="77777777" w:rsidR="00E616B6" w:rsidRPr="00A200BC" w:rsidRDefault="00E616B6" w:rsidP="00CD4F5D">
            <w:pPr>
              <w:rPr>
                <w:rFonts w:ascii="Century Gothic" w:hAnsi="Century Gothic"/>
                <w:sz w:val="22"/>
                <w:szCs w:val="22"/>
              </w:rPr>
            </w:pPr>
            <w:r w:rsidRPr="00A200BC">
              <w:rPr>
                <w:rFonts w:ascii="Century Gothic" w:hAnsi="Century Gothic" w:cstheme="minorBidi"/>
                <w:noProof/>
                <w:sz w:val="22"/>
                <w:szCs w:val="22"/>
              </w:rPr>
              <w:t>Loreto Morales Acevedo</w:t>
            </w:r>
          </w:p>
        </w:tc>
      </w:tr>
      <w:tr w:rsidR="00E616B6" w:rsidRPr="00A200BC" w14:paraId="209AB94E" w14:textId="77777777" w:rsidTr="00CD4F5D">
        <w:tc>
          <w:tcPr>
            <w:tcW w:w="1740" w:type="dxa"/>
          </w:tcPr>
          <w:p w14:paraId="026AD4EF" w14:textId="77777777" w:rsidR="00E616B6" w:rsidRPr="00A200BC" w:rsidRDefault="00E616B6" w:rsidP="00CD4F5D">
            <w:pPr>
              <w:rPr>
                <w:rFonts w:ascii="Century Gothic" w:eastAsia="Times New Roman" w:hAnsi="Century Gothic" w:cs="Arial"/>
                <w:color w:val="000000"/>
                <w:sz w:val="22"/>
                <w:szCs w:val="22"/>
              </w:rPr>
            </w:pPr>
            <w:r w:rsidRPr="00A200BC">
              <w:rPr>
                <w:rFonts w:ascii="Century Gothic" w:eastAsia="Times New Roman" w:hAnsi="Century Gothic" w:cs="Arial"/>
                <w:color w:val="000000"/>
                <w:sz w:val="22"/>
                <w:szCs w:val="22"/>
              </w:rPr>
              <w:t>Organización 1</w:t>
            </w:r>
          </w:p>
        </w:tc>
        <w:tc>
          <w:tcPr>
            <w:tcW w:w="7088" w:type="dxa"/>
            <w:gridSpan w:val="3"/>
          </w:tcPr>
          <w:p w14:paraId="57778E4B" w14:textId="77777777" w:rsidR="00E616B6" w:rsidRPr="00A200BC" w:rsidRDefault="00E616B6" w:rsidP="00CD4F5D">
            <w:pPr>
              <w:rPr>
                <w:rFonts w:ascii="Century Gothic" w:hAnsi="Century Gothic"/>
                <w:sz w:val="22"/>
                <w:szCs w:val="22"/>
              </w:rPr>
            </w:pPr>
            <w:r w:rsidRPr="00A200BC">
              <w:rPr>
                <w:rFonts w:ascii="Century Gothic" w:hAnsi="Century Gothic" w:cstheme="minorBidi"/>
                <w:noProof/>
                <w:sz w:val="22"/>
                <w:szCs w:val="22"/>
              </w:rPr>
              <w:t>Pontificia Universidad Católica de Valparaíso</w:t>
            </w:r>
          </w:p>
        </w:tc>
      </w:tr>
      <w:tr w:rsidR="00E616B6" w:rsidRPr="00A200BC" w14:paraId="5995DA83" w14:textId="77777777" w:rsidTr="00CD4F5D">
        <w:trPr>
          <w:trHeight w:val="334"/>
        </w:trPr>
        <w:tc>
          <w:tcPr>
            <w:tcW w:w="1740" w:type="dxa"/>
          </w:tcPr>
          <w:p w14:paraId="6AC39896" w14:textId="77777777" w:rsidR="00E616B6" w:rsidRPr="00A200BC" w:rsidRDefault="00E616B6" w:rsidP="00CD4F5D">
            <w:pPr>
              <w:rPr>
                <w:rFonts w:ascii="Century Gothic" w:eastAsia="Times New Roman" w:hAnsi="Century Gothic" w:cs="Arial"/>
                <w:color w:val="000000"/>
                <w:sz w:val="22"/>
                <w:szCs w:val="22"/>
              </w:rPr>
            </w:pPr>
            <w:r w:rsidRPr="00A200BC">
              <w:rPr>
                <w:rFonts w:ascii="Century Gothic" w:eastAsia="Times New Roman" w:hAnsi="Century Gothic" w:cs="Arial"/>
                <w:color w:val="000000"/>
                <w:sz w:val="22"/>
                <w:szCs w:val="22"/>
              </w:rPr>
              <w:t>Organización 2</w:t>
            </w:r>
          </w:p>
        </w:tc>
        <w:tc>
          <w:tcPr>
            <w:tcW w:w="7088" w:type="dxa"/>
            <w:gridSpan w:val="3"/>
          </w:tcPr>
          <w:p w14:paraId="6CC1959F" w14:textId="77777777" w:rsidR="00E616B6" w:rsidRPr="00A200BC" w:rsidRDefault="00E616B6" w:rsidP="00CD4F5D">
            <w:pPr>
              <w:rPr>
                <w:rFonts w:ascii="Century Gothic" w:hAnsi="Century Gothic"/>
                <w:sz w:val="22"/>
                <w:szCs w:val="22"/>
              </w:rPr>
            </w:pPr>
            <w:r w:rsidRPr="00A200BC">
              <w:rPr>
                <w:rFonts w:ascii="Century Gothic" w:hAnsi="Century Gothic" w:cstheme="minorBidi"/>
                <w:noProof/>
                <w:sz w:val="22"/>
                <w:szCs w:val="22"/>
              </w:rPr>
              <w:t>-</w:t>
            </w:r>
          </w:p>
        </w:tc>
      </w:tr>
      <w:tr w:rsidR="00E616B6" w:rsidRPr="00A200BC" w14:paraId="096338A2" w14:textId="77777777" w:rsidTr="00CD4F5D">
        <w:tc>
          <w:tcPr>
            <w:tcW w:w="1740" w:type="dxa"/>
          </w:tcPr>
          <w:p w14:paraId="64ECC734" w14:textId="77777777" w:rsidR="00E616B6" w:rsidRPr="00A200BC" w:rsidRDefault="00E616B6" w:rsidP="00CD4F5D">
            <w:pPr>
              <w:rPr>
                <w:rFonts w:ascii="Century Gothic" w:eastAsia="Times New Roman" w:hAnsi="Century Gothic" w:cs="Arial"/>
                <w:color w:val="000000"/>
                <w:sz w:val="22"/>
                <w:szCs w:val="22"/>
              </w:rPr>
            </w:pPr>
            <w:r w:rsidRPr="00A200BC">
              <w:rPr>
                <w:rFonts w:ascii="Century Gothic" w:eastAsia="Times New Roman" w:hAnsi="Century Gothic" w:cs="Arial"/>
                <w:color w:val="000000"/>
                <w:sz w:val="22"/>
                <w:szCs w:val="22"/>
              </w:rPr>
              <w:t>Tipo de Organización</w:t>
            </w:r>
          </w:p>
        </w:tc>
        <w:tc>
          <w:tcPr>
            <w:tcW w:w="7088" w:type="dxa"/>
            <w:gridSpan w:val="3"/>
          </w:tcPr>
          <w:p w14:paraId="6AA2FA24" w14:textId="77777777" w:rsidR="00E616B6" w:rsidRPr="00A200BC" w:rsidRDefault="00E616B6" w:rsidP="00CD4F5D">
            <w:pPr>
              <w:rPr>
                <w:rFonts w:ascii="Century Gothic" w:hAnsi="Century Gothic"/>
                <w:sz w:val="22"/>
                <w:szCs w:val="22"/>
              </w:rPr>
            </w:pPr>
            <w:r w:rsidRPr="00A200BC">
              <w:rPr>
                <w:rFonts w:ascii="Century Gothic" w:hAnsi="Century Gothic" w:cstheme="minorBidi"/>
                <w:noProof/>
                <w:sz w:val="22"/>
                <w:szCs w:val="22"/>
              </w:rPr>
              <w:t>Educación superior</w:t>
            </w:r>
          </w:p>
        </w:tc>
        <w:bookmarkStart w:id="0" w:name="_GoBack"/>
        <w:bookmarkEnd w:id="0"/>
      </w:tr>
      <w:tr w:rsidR="00E616B6" w:rsidRPr="00A200BC" w14:paraId="5CEFB6FA" w14:textId="77777777" w:rsidTr="00CD4F5D">
        <w:tc>
          <w:tcPr>
            <w:tcW w:w="1740" w:type="dxa"/>
          </w:tcPr>
          <w:p w14:paraId="3E805480" w14:textId="77777777" w:rsidR="00E616B6" w:rsidRPr="00A200BC" w:rsidRDefault="00E616B6" w:rsidP="00CD4F5D">
            <w:pPr>
              <w:rPr>
                <w:rFonts w:ascii="Century Gothic" w:eastAsia="Times New Roman" w:hAnsi="Century Gothic" w:cs="Arial"/>
                <w:color w:val="000000"/>
                <w:sz w:val="22"/>
                <w:szCs w:val="22"/>
              </w:rPr>
            </w:pPr>
            <w:r w:rsidRPr="00A200BC">
              <w:rPr>
                <w:rFonts w:ascii="Century Gothic" w:eastAsia="Times New Roman" w:hAnsi="Century Gothic" w:cs="Arial"/>
                <w:color w:val="000000"/>
                <w:sz w:val="22"/>
                <w:szCs w:val="22"/>
              </w:rPr>
              <w:t>Comuna</w:t>
            </w:r>
          </w:p>
        </w:tc>
        <w:tc>
          <w:tcPr>
            <w:tcW w:w="2362" w:type="dxa"/>
          </w:tcPr>
          <w:p w14:paraId="5C368E70" w14:textId="77777777" w:rsidR="00E616B6" w:rsidRPr="00A200BC" w:rsidRDefault="00E616B6" w:rsidP="00CD4F5D">
            <w:pPr>
              <w:rPr>
                <w:rFonts w:ascii="Century Gothic" w:hAnsi="Century Gothic"/>
                <w:sz w:val="22"/>
                <w:szCs w:val="22"/>
              </w:rPr>
            </w:pPr>
            <w:r w:rsidRPr="00A200BC">
              <w:rPr>
                <w:rFonts w:ascii="Century Gothic" w:hAnsi="Century Gothic" w:cstheme="minorBidi"/>
                <w:noProof/>
                <w:sz w:val="22"/>
                <w:szCs w:val="22"/>
              </w:rPr>
              <w:t>Valparaíso</w:t>
            </w:r>
          </w:p>
        </w:tc>
        <w:tc>
          <w:tcPr>
            <w:tcW w:w="2363" w:type="dxa"/>
          </w:tcPr>
          <w:p w14:paraId="340333A8" w14:textId="77777777" w:rsidR="00E616B6" w:rsidRPr="00A200BC" w:rsidRDefault="00E616B6" w:rsidP="00CD4F5D">
            <w:pPr>
              <w:rPr>
                <w:rFonts w:ascii="Century Gothic" w:hAnsi="Century Gothic"/>
                <w:sz w:val="22"/>
                <w:szCs w:val="22"/>
              </w:rPr>
            </w:pPr>
            <w:r w:rsidRPr="00A200BC">
              <w:rPr>
                <w:rFonts w:ascii="Century Gothic" w:hAnsi="Century Gothic"/>
                <w:sz w:val="22"/>
                <w:szCs w:val="22"/>
              </w:rPr>
              <w:t>Región</w:t>
            </w:r>
          </w:p>
        </w:tc>
        <w:tc>
          <w:tcPr>
            <w:tcW w:w="2363" w:type="dxa"/>
          </w:tcPr>
          <w:p w14:paraId="79E18D1E" w14:textId="77777777" w:rsidR="00E616B6" w:rsidRPr="00A200BC" w:rsidRDefault="00E616B6" w:rsidP="00CD4F5D">
            <w:pPr>
              <w:rPr>
                <w:rFonts w:ascii="Century Gothic" w:hAnsi="Century Gothic"/>
                <w:sz w:val="22"/>
                <w:szCs w:val="22"/>
              </w:rPr>
            </w:pPr>
            <w:r w:rsidRPr="00A200BC">
              <w:rPr>
                <w:rFonts w:ascii="Century Gothic" w:hAnsi="Century Gothic" w:cstheme="minorBidi"/>
                <w:noProof/>
                <w:sz w:val="22"/>
                <w:szCs w:val="22"/>
              </w:rPr>
              <w:t>V Región</w:t>
            </w:r>
          </w:p>
        </w:tc>
      </w:tr>
      <w:tr w:rsidR="00E616B6" w:rsidRPr="00A200BC" w14:paraId="32A57138" w14:textId="77777777" w:rsidTr="00CD4F5D">
        <w:tc>
          <w:tcPr>
            <w:tcW w:w="1740" w:type="dxa"/>
          </w:tcPr>
          <w:p w14:paraId="734B710E" w14:textId="77777777" w:rsidR="00E616B6" w:rsidRPr="00A200BC" w:rsidRDefault="00E616B6" w:rsidP="00CD4F5D">
            <w:pPr>
              <w:rPr>
                <w:rFonts w:ascii="Century Gothic" w:eastAsia="Times New Roman" w:hAnsi="Century Gothic" w:cs="Arial"/>
                <w:color w:val="000000"/>
                <w:sz w:val="22"/>
                <w:szCs w:val="22"/>
              </w:rPr>
            </w:pPr>
            <w:r w:rsidRPr="00A200BC">
              <w:rPr>
                <w:rFonts w:ascii="Century Gothic" w:eastAsia="Times New Roman" w:hAnsi="Century Gothic" w:cs="Arial"/>
                <w:color w:val="000000"/>
                <w:sz w:val="22"/>
                <w:szCs w:val="22"/>
              </w:rPr>
              <w:t>Mail</w:t>
            </w:r>
          </w:p>
        </w:tc>
        <w:tc>
          <w:tcPr>
            <w:tcW w:w="7088" w:type="dxa"/>
            <w:gridSpan w:val="3"/>
          </w:tcPr>
          <w:p w14:paraId="303D16EE" w14:textId="77777777" w:rsidR="00E616B6" w:rsidRPr="00A200BC" w:rsidRDefault="00E616B6" w:rsidP="00CD4F5D">
            <w:pPr>
              <w:rPr>
                <w:rFonts w:ascii="Century Gothic" w:hAnsi="Century Gothic"/>
                <w:sz w:val="22"/>
                <w:szCs w:val="22"/>
              </w:rPr>
            </w:pPr>
            <w:r w:rsidRPr="00A200BC">
              <w:rPr>
                <w:rFonts w:ascii="Century Gothic" w:hAnsi="Century Gothic" w:cstheme="minorBidi"/>
                <w:noProof/>
                <w:sz w:val="22"/>
                <w:szCs w:val="22"/>
              </w:rPr>
              <w:t>gladys.jimenez@pucv.cl</w:t>
            </w:r>
          </w:p>
        </w:tc>
      </w:tr>
    </w:tbl>
    <w:p w14:paraId="0FF53322" w14:textId="77777777" w:rsidR="00E616B6" w:rsidRPr="00A200BC" w:rsidRDefault="00E616B6" w:rsidP="00E616B6">
      <w:pPr>
        <w:rPr>
          <w:rFonts w:ascii="Century Gothic" w:hAnsi="Century Gothic"/>
          <w:sz w:val="22"/>
          <w:szCs w:val="22"/>
        </w:rPr>
      </w:pPr>
    </w:p>
    <w:tbl>
      <w:tblPr>
        <w:tblStyle w:val="Tablaconcuadrcula"/>
        <w:tblW w:w="0" w:type="auto"/>
        <w:tblLook w:val="04A0" w:firstRow="1" w:lastRow="0" w:firstColumn="1" w:lastColumn="0" w:noHBand="0" w:noVBand="1"/>
      </w:tblPr>
      <w:tblGrid>
        <w:gridCol w:w="1595"/>
        <w:gridCol w:w="7233"/>
      </w:tblGrid>
      <w:tr w:rsidR="00E616B6" w:rsidRPr="00A200BC" w14:paraId="51C0DA6E" w14:textId="77777777" w:rsidTr="00CD4F5D">
        <w:trPr>
          <w:trHeight w:val="627"/>
        </w:trPr>
        <w:tc>
          <w:tcPr>
            <w:tcW w:w="1783" w:type="dxa"/>
          </w:tcPr>
          <w:p w14:paraId="4CB76542" w14:textId="77777777" w:rsidR="00E616B6" w:rsidRPr="00A200BC" w:rsidRDefault="00E616B6" w:rsidP="00CD4F5D">
            <w:pPr>
              <w:rPr>
                <w:rFonts w:ascii="Century Gothic" w:hAnsi="Century Gothic"/>
                <w:sz w:val="22"/>
                <w:szCs w:val="22"/>
              </w:rPr>
            </w:pPr>
            <w:r w:rsidRPr="00A200BC">
              <w:rPr>
                <w:rFonts w:ascii="Century Gothic" w:hAnsi="Century Gothic"/>
                <w:sz w:val="22"/>
                <w:szCs w:val="22"/>
              </w:rPr>
              <w:t>Información General</w:t>
            </w:r>
          </w:p>
        </w:tc>
        <w:tc>
          <w:tcPr>
            <w:tcW w:w="7045" w:type="dxa"/>
          </w:tcPr>
          <w:p w14:paraId="32B480E0" w14:textId="77777777" w:rsidR="00E616B6" w:rsidRPr="00A200BC" w:rsidRDefault="00E616B6" w:rsidP="00CD4F5D">
            <w:pPr>
              <w:rPr>
                <w:rFonts w:ascii="Century Gothic" w:hAnsi="Century Gothic"/>
                <w:sz w:val="22"/>
                <w:szCs w:val="22"/>
              </w:rPr>
            </w:pPr>
            <w:r w:rsidRPr="00A200BC">
              <w:rPr>
                <w:rFonts w:ascii="Century Gothic" w:hAnsi="Century Gothic" w:cstheme="minorBidi"/>
                <w:noProof/>
                <w:sz w:val="22"/>
                <w:szCs w:val="22"/>
              </w:rPr>
              <w:t>En esta línea, la metodología A+S se propone como una alternativa interesante de formación disciplinar e interdisciplinar, que contribuye al logro de la responsabilidad social, permitiendo integrar tres elementos centrales: el aprendizaje, el servicio y la reflexión estructurada; en este sentido, se proyecta, que en conjunto con el socio comunitario, se produzca un efecto sistémico significativo en la formación de los estudiantes de las asignaturas disciplinares: Teoría Organizacional 1 (Contador Auditor), Transferencia de Materia y Energía (Ingeniería y Alimentos); y Ética Cristiana, del programa de Formación Fundamental de la PUCV, espacio curricular transversal en los currículos de pregrado, que “… se corresponde con el sello distintivo institucional de la formación que tiene como base la visión cristiana del hombre” (PUCV, 2008: 5 y 6).</w:t>
            </w:r>
          </w:p>
        </w:tc>
      </w:tr>
      <w:tr w:rsidR="00E616B6" w:rsidRPr="00A200BC" w14:paraId="24DFF9C6" w14:textId="77777777" w:rsidTr="00CD4F5D">
        <w:tc>
          <w:tcPr>
            <w:tcW w:w="1783" w:type="dxa"/>
          </w:tcPr>
          <w:p w14:paraId="6E888B9E" w14:textId="77777777" w:rsidR="00E616B6" w:rsidRPr="00A200BC" w:rsidRDefault="00E616B6" w:rsidP="00CD4F5D">
            <w:pPr>
              <w:rPr>
                <w:rFonts w:ascii="Century Gothic" w:hAnsi="Century Gothic"/>
                <w:sz w:val="22"/>
                <w:szCs w:val="22"/>
              </w:rPr>
            </w:pPr>
            <w:r w:rsidRPr="00A200BC">
              <w:rPr>
                <w:rFonts w:ascii="Century Gothic" w:hAnsi="Century Gothic"/>
                <w:sz w:val="22"/>
                <w:szCs w:val="22"/>
              </w:rPr>
              <w:t>Resumen</w:t>
            </w:r>
          </w:p>
        </w:tc>
        <w:tc>
          <w:tcPr>
            <w:tcW w:w="7045" w:type="dxa"/>
          </w:tcPr>
          <w:p w14:paraId="07612E8D" w14:textId="77777777" w:rsidR="00E616B6" w:rsidRPr="00A200BC" w:rsidRDefault="00E616B6" w:rsidP="00CD4F5D">
            <w:pPr>
              <w:rPr>
                <w:rFonts w:ascii="Century Gothic" w:hAnsi="Century Gothic" w:cstheme="minorBidi"/>
                <w:noProof/>
                <w:sz w:val="22"/>
                <w:szCs w:val="22"/>
              </w:rPr>
            </w:pPr>
            <w:r w:rsidRPr="00A200BC">
              <w:rPr>
                <w:rFonts w:ascii="Century Gothic" w:hAnsi="Century Gothic" w:cstheme="minorBidi"/>
                <w:noProof/>
                <w:sz w:val="22"/>
                <w:szCs w:val="22"/>
              </w:rPr>
              <w:t xml:space="preserve">Hablar de lo interdisciplinario es un tema distante, porque el mundo académico se piensa y organiza desde la disciplina; hay un espacio mirado con recelo, pues obliga a los académicos establecer formas de dialogo donde la convergencia del conocimiento entra en pugna con el vocabulario profesional. </w:t>
            </w:r>
          </w:p>
          <w:p w14:paraId="36439E55" w14:textId="77777777" w:rsidR="00E616B6" w:rsidRPr="00A200BC" w:rsidRDefault="00E616B6" w:rsidP="00CD4F5D">
            <w:pPr>
              <w:rPr>
                <w:rFonts w:ascii="Century Gothic" w:hAnsi="Century Gothic" w:cstheme="minorBidi"/>
                <w:noProof/>
                <w:sz w:val="22"/>
                <w:szCs w:val="22"/>
              </w:rPr>
            </w:pPr>
            <w:r w:rsidRPr="00A200BC">
              <w:rPr>
                <w:rFonts w:ascii="Century Gothic" w:hAnsi="Century Gothic" w:cstheme="minorBidi"/>
                <w:noProof/>
                <w:sz w:val="22"/>
                <w:szCs w:val="22"/>
              </w:rPr>
              <w:t>Al respecto, el trabajo se genera a partir del quehacer de las carreras de Contador Auditor, Ingeniería de Alimentos y del Instituto de Ciencias Religiosas, cada una diferente en su campo de aplicación profesional, que buscan articularse hacia la resolución de problemáticas sociales a través del A+S interdisciplinario. El punto de convergencia es el compromiso con una formación atingente a las realidades sociales, donde es necesario aportar desde diferentes cuerpos epistemológicos del saber; de este modo, se responde a la formación universitaria en contextos donde se ejerce un liderazgo socialmente responsable y co-transformador.</w:t>
            </w:r>
          </w:p>
          <w:p w14:paraId="5B1DE4D1" w14:textId="77777777" w:rsidR="00E616B6" w:rsidRPr="00A200BC" w:rsidRDefault="00E616B6" w:rsidP="00CD4F5D">
            <w:pPr>
              <w:rPr>
                <w:rFonts w:ascii="Century Gothic" w:hAnsi="Century Gothic"/>
                <w:sz w:val="22"/>
                <w:szCs w:val="22"/>
              </w:rPr>
            </w:pPr>
            <w:r w:rsidRPr="00A200BC">
              <w:rPr>
                <w:rFonts w:ascii="Century Gothic" w:hAnsi="Century Gothic" w:cstheme="minorBidi"/>
                <w:noProof/>
                <w:sz w:val="22"/>
                <w:szCs w:val="22"/>
              </w:rPr>
              <w:lastRenderedPageBreak/>
              <w:t>Es un estudio de corte cualititativo, donde los académicos reflexionan sobre sus preconcepciones a la luz de avanzar en el logro final propuesto; las evidencias se obtienen en las reflexiones y grupo focal realizado. Al mismo tiempo, que ellas se contrastan con las percepciones del socio comunitario y las de los estudiantes, una vez finalizado el proyecto.</w:t>
            </w:r>
          </w:p>
        </w:tc>
      </w:tr>
      <w:tr w:rsidR="00E616B6" w:rsidRPr="00A200BC" w14:paraId="28D70EBC" w14:textId="77777777" w:rsidTr="00CD4F5D">
        <w:tc>
          <w:tcPr>
            <w:tcW w:w="1783" w:type="dxa"/>
          </w:tcPr>
          <w:p w14:paraId="3F7DDE39" w14:textId="77777777" w:rsidR="00E616B6" w:rsidRPr="00A200BC" w:rsidRDefault="00E616B6" w:rsidP="00CD4F5D">
            <w:pPr>
              <w:rPr>
                <w:rFonts w:ascii="Century Gothic" w:hAnsi="Century Gothic"/>
                <w:sz w:val="22"/>
                <w:szCs w:val="22"/>
              </w:rPr>
            </w:pPr>
            <w:r w:rsidRPr="00A200BC">
              <w:rPr>
                <w:rFonts w:ascii="Century Gothic" w:hAnsi="Century Gothic"/>
                <w:sz w:val="22"/>
                <w:szCs w:val="22"/>
              </w:rPr>
              <w:lastRenderedPageBreak/>
              <w:t>Introducción</w:t>
            </w:r>
          </w:p>
        </w:tc>
        <w:tc>
          <w:tcPr>
            <w:tcW w:w="7045" w:type="dxa"/>
          </w:tcPr>
          <w:p w14:paraId="5AC2FA83" w14:textId="77777777" w:rsidR="00E616B6" w:rsidRPr="00A200BC" w:rsidRDefault="00E616B6" w:rsidP="00CD4F5D">
            <w:pPr>
              <w:rPr>
                <w:rFonts w:ascii="Century Gothic" w:hAnsi="Century Gothic" w:cstheme="minorBidi"/>
                <w:noProof/>
                <w:sz w:val="22"/>
                <w:szCs w:val="22"/>
              </w:rPr>
            </w:pPr>
            <w:r w:rsidRPr="00A200BC">
              <w:rPr>
                <w:rFonts w:ascii="Century Gothic" w:hAnsi="Century Gothic" w:cstheme="minorBidi"/>
                <w:noProof/>
                <w:sz w:val="22"/>
                <w:szCs w:val="22"/>
              </w:rPr>
              <w:t>La interdisciplinariedad es un espacio que desafía la reflexión, donde el análisis de la afectación social, establece puentes generadores de espacios de formación de los estudiantes no solo en solidaridad con el mundo real, sino también sinérgicos como respuestas atingentes a esa realidad desde diferentes cuerpos epistemológicos del saber. Poder establecer estos puentes en proyectos de Aprendizaje y Servicio, permite al estudiante formarse no solo en solidaridad con el socio comunitario, sino también percibir en esa sinergia que comporta el quehacer profesional, un mundo complejo e interconectado como el actual.</w:t>
            </w:r>
          </w:p>
          <w:p w14:paraId="05114A36" w14:textId="77777777" w:rsidR="00E616B6" w:rsidRPr="00A200BC" w:rsidRDefault="00E616B6" w:rsidP="00CD4F5D">
            <w:pPr>
              <w:rPr>
                <w:rFonts w:ascii="Century Gothic" w:hAnsi="Century Gothic" w:cstheme="minorBidi"/>
                <w:noProof/>
                <w:sz w:val="22"/>
                <w:szCs w:val="22"/>
              </w:rPr>
            </w:pPr>
          </w:p>
          <w:p w14:paraId="0358AC33" w14:textId="77777777" w:rsidR="00E616B6" w:rsidRPr="00A200BC" w:rsidRDefault="00E616B6" w:rsidP="00CD4F5D">
            <w:pPr>
              <w:rPr>
                <w:rFonts w:ascii="Century Gothic" w:hAnsi="Century Gothic" w:cstheme="minorBidi"/>
                <w:noProof/>
                <w:sz w:val="22"/>
                <w:szCs w:val="22"/>
              </w:rPr>
            </w:pPr>
            <w:r w:rsidRPr="00A200BC">
              <w:rPr>
                <w:rFonts w:ascii="Century Gothic" w:hAnsi="Century Gothic" w:cstheme="minorBidi"/>
                <w:noProof/>
                <w:sz w:val="22"/>
                <w:szCs w:val="22"/>
              </w:rPr>
              <w:t>Por otro lado, pensar en una formación profesional descontextualizada de las necesidades sociales, resulta ajeno a una formación de calidad y en especial en instituciones que se encuentran comprometidas desde su vocación hacia el servicio público, y, por tanto, con una formación que contribuya a la promoción de la dignidad humana y de una vida en sociedad que incluya a todos y todas en su desarrollo.</w:t>
            </w:r>
          </w:p>
          <w:p w14:paraId="7BD2C4F0" w14:textId="77777777" w:rsidR="00E616B6" w:rsidRPr="00A200BC" w:rsidRDefault="00E616B6" w:rsidP="00CD4F5D">
            <w:pPr>
              <w:rPr>
                <w:rFonts w:ascii="Century Gothic" w:hAnsi="Century Gothic" w:cstheme="minorBidi"/>
                <w:noProof/>
                <w:sz w:val="22"/>
                <w:szCs w:val="22"/>
              </w:rPr>
            </w:pPr>
          </w:p>
          <w:p w14:paraId="5FDA3607" w14:textId="77777777" w:rsidR="00E616B6" w:rsidRPr="00A200BC" w:rsidRDefault="00E616B6" w:rsidP="00CD4F5D">
            <w:pPr>
              <w:rPr>
                <w:rFonts w:ascii="Century Gothic" w:hAnsi="Century Gothic" w:cstheme="minorBidi"/>
                <w:noProof/>
                <w:sz w:val="22"/>
                <w:szCs w:val="22"/>
              </w:rPr>
            </w:pPr>
            <w:r w:rsidRPr="00A200BC">
              <w:rPr>
                <w:rFonts w:ascii="Century Gothic" w:hAnsi="Century Gothic" w:cstheme="minorBidi"/>
                <w:noProof/>
                <w:sz w:val="22"/>
                <w:szCs w:val="22"/>
              </w:rPr>
              <w:t xml:space="preserve">Lo anterior demanda una acción reflexiva y un diseño cuidadoso de la docencia, donde las integraciones de los objetivos de aprendizaje se puedan lograr mediante un proceso reflexivo, protagónico, de servicio e interdisciplinar de los estudiantes. </w:t>
            </w:r>
          </w:p>
          <w:p w14:paraId="51579AB6" w14:textId="77777777" w:rsidR="00E616B6" w:rsidRPr="00A200BC" w:rsidRDefault="00E616B6" w:rsidP="00CD4F5D">
            <w:pPr>
              <w:rPr>
                <w:rFonts w:ascii="Century Gothic" w:hAnsi="Century Gothic"/>
                <w:sz w:val="22"/>
                <w:szCs w:val="22"/>
              </w:rPr>
            </w:pPr>
          </w:p>
        </w:tc>
      </w:tr>
      <w:tr w:rsidR="00E616B6" w:rsidRPr="00A200BC" w14:paraId="79BD440F" w14:textId="77777777" w:rsidTr="00CD4F5D">
        <w:tc>
          <w:tcPr>
            <w:tcW w:w="1783" w:type="dxa"/>
          </w:tcPr>
          <w:p w14:paraId="5D5D1B3C" w14:textId="77777777" w:rsidR="00E616B6" w:rsidRPr="00A200BC" w:rsidRDefault="00E616B6" w:rsidP="00CD4F5D">
            <w:pPr>
              <w:rPr>
                <w:rFonts w:ascii="Century Gothic" w:hAnsi="Century Gothic"/>
                <w:sz w:val="22"/>
                <w:szCs w:val="22"/>
              </w:rPr>
            </w:pPr>
            <w:r w:rsidRPr="00A200BC">
              <w:rPr>
                <w:rFonts w:ascii="Century Gothic" w:hAnsi="Century Gothic"/>
                <w:sz w:val="22"/>
                <w:szCs w:val="22"/>
              </w:rPr>
              <w:t>Marco Teórico</w:t>
            </w:r>
          </w:p>
        </w:tc>
        <w:tc>
          <w:tcPr>
            <w:tcW w:w="7045" w:type="dxa"/>
          </w:tcPr>
          <w:p w14:paraId="57EABDF0" w14:textId="77777777" w:rsidR="00E616B6" w:rsidRPr="00A200BC" w:rsidRDefault="00E616B6" w:rsidP="00CD4F5D">
            <w:pPr>
              <w:rPr>
                <w:rFonts w:ascii="Century Gothic" w:hAnsi="Century Gothic" w:cstheme="minorBidi"/>
                <w:noProof/>
                <w:sz w:val="22"/>
                <w:szCs w:val="22"/>
              </w:rPr>
            </w:pPr>
            <w:r w:rsidRPr="00A200BC">
              <w:rPr>
                <w:rFonts w:ascii="Century Gothic" w:hAnsi="Century Gothic" w:cstheme="minorBidi"/>
                <w:noProof/>
                <w:sz w:val="22"/>
                <w:szCs w:val="22"/>
              </w:rPr>
              <w:t xml:space="preserve">La Misión, Visión, Proyecto Educativo y Plan de Desarrollo Estratégico Institucional 2017 – 2022, alertan a la institución acerca de un sentido de responsabilidad que supera la simple acción de responder a la sociedad, convocándola como sujeto moral y social (Casper, 2008). Así, es desde esta naturaleza que la institución es interpelada para apropiarse de una ética de la responsabilidad social, que tiene en cuenta tanto el cómo afecta su quehacer en el medio ambiente, cómo ella se ve afectada a partir de esta interacción con su territorio, así como la respuesta solidaria a los rostros de los seres humanos que demandan una respuesta por las acciones emprendidas (Gamboa, Jiménez, Jiménez &amp; Lombardo, 2014). </w:t>
            </w:r>
          </w:p>
          <w:p w14:paraId="638584AA" w14:textId="77777777" w:rsidR="00E616B6" w:rsidRPr="00A200BC" w:rsidRDefault="00E616B6" w:rsidP="00CD4F5D">
            <w:pPr>
              <w:rPr>
                <w:rFonts w:ascii="Century Gothic" w:hAnsi="Century Gothic" w:cstheme="minorBidi"/>
                <w:noProof/>
                <w:sz w:val="22"/>
                <w:szCs w:val="22"/>
              </w:rPr>
            </w:pPr>
          </w:p>
          <w:p w14:paraId="143F5DDB" w14:textId="77777777" w:rsidR="00E616B6" w:rsidRPr="00A200BC" w:rsidRDefault="00E616B6" w:rsidP="00CD4F5D">
            <w:pPr>
              <w:rPr>
                <w:rFonts w:ascii="Century Gothic" w:hAnsi="Century Gothic" w:cstheme="minorBidi"/>
                <w:noProof/>
                <w:sz w:val="22"/>
                <w:szCs w:val="22"/>
              </w:rPr>
            </w:pPr>
            <w:r w:rsidRPr="00A200BC">
              <w:rPr>
                <w:rFonts w:ascii="Century Gothic" w:hAnsi="Century Gothic" w:cstheme="minorBidi"/>
                <w:noProof/>
                <w:sz w:val="22"/>
                <w:szCs w:val="22"/>
              </w:rPr>
              <w:t xml:space="preserve">En este contexto de formación universitaria, se busca la integración de la formación en responsabilidad social con los elementos claves de la metodología A+S, especialmente, el equilibrio entre los aprendizajes de los estudiantes con el servicio </w:t>
            </w:r>
            <w:r w:rsidRPr="00A200BC">
              <w:rPr>
                <w:rFonts w:ascii="Century Gothic" w:hAnsi="Century Gothic" w:cstheme="minorBidi"/>
                <w:noProof/>
                <w:sz w:val="22"/>
                <w:szCs w:val="22"/>
              </w:rPr>
              <w:lastRenderedPageBreak/>
              <w:t xml:space="preserve">orientado a una necesidad real de una comunidad (Furco y Billing, 2002), que supone respuestas interdisciplinarias frente a los acuciantes problemas que aquejan, especialmente, a los excluidos. </w:t>
            </w:r>
          </w:p>
          <w:p w14:paraId="5E0043D8" w14:textId="77777777" w:rsidR="00E616B6" w:rsidRPr="00A200BC" w:rsidRDefault="00E616B6" w:rsidP="00CD4F5D">
            <w:pPr>
              <w:rPr>
                <w:rFonts w:ascii="Century Gothic" w:hAnsi="Century Gothic" w:cstheme="minorBidi"/>
                <w:noProof/>
                <w:sz w:val="22"/>
                <w:szCs w:val="22"/>
              </w:rPr>
            </w:pPr>
            <w:r w:rsidRPr="00A200BC">
              <w:rPr>
                <w:rFonts w:ascii="Century Gothic" w:hAnsi="Century Gothic" w:cstheme="minorBidi"/>
                <w:noProof/>
                <w:sz w:val="22"/>
                <w:szCs w:val="22"/>
              </w:rPr>
              <w:t xml:space="preserve">El proyecto Aprendizaje y Servicio responde a tres dimensiones de formación universitaria: </w:t>
            </w:r>
          </w:p>
          <w:p w14:paraId="4B379288" w14:textId="77777777" w:rsidR="00E616B6" w:rsidRPr="00A200BC" w:rsidRDefault="00E616B6" w:rsidP="00CD4F5D">
            <w:pPr>
              <w:rPr>
                <w:rFonts w:ascii="Century Gothic" w:hAnsi="Century Gothic" w:cstheme="minorBidi"/>
                <w:noProof/>
                <w:sz w:val="22"/>
                <w:szCs w:val="22"/>
              </w:rPr>
            </w:pPr>
            <w:r w:rsidRPr="00A200BC">
              <w:rPr>
                <w:rFonts w:ascii="Century Gothic" w:hAnsi="Century Gothic" w:cstheme="minorBidi"/>
                <w:noProof/>
                <w:sz w:val="22"/>
                <w:szCs w:val="22"/>
              </w:rPr>
              <w:t>a)</w:t>
            </w:r>
            <w:r w:rsidRPr="00A200BC">
              <w:rPr>
                <w:rFonts w:ascii="Century Gothic" w:hAnsi="Century Gothic" w:cstheme="minorBidi"/>
                <w:noProof/>
                <w:sz w:val="22"/>
                <w:szCs w:val="22"/>
              </w:rPr>
              <w:tab/>
              <w:t xml:space="preserve">Una académica que vincula la teoría con la práctica en contextos sociales reales de la formación disciplinar; </w:t>
            </w:r>
          </w:p>
          <w:p w14:paraId="2DFD35D0" w14:textId="77777777" w:rsidR="00E616B6" w:rsidRPr="00A200BC" w:rsidRDefault="00E616B6" w:rsidP="00CD4F5D">
            <w:pPr>
              <w:rPr>
                <w:rFonts w:ascii="Century Gothic" w:hAnsi="Century Gothic" w:cstheme="minorBidi"/>
                <w:noProof/>
                <w:sz w:val="22"/>
                <w:szCs w:val="22"/>
              </w:rPr>
            </w:pPr>
            <w:r w:rsidRPr="00A200BC">
              <w:rPr>
                <w:rFonts w:ascii="Century Gothic" w:hAnsi="Century Gothic" w:cstheme="minorBidi"/>
                <w:noProof/>
                <w:sz w:val="22"/>
                <w:szCs w:val="22"/>
              </w:rPr>
              <w:t>b)</w:t>
            </w:r>
            <w:r w:rsidRPr="00A200BC">
              <w:rPr>
                <w:rFonts w:ascii="Century Gothic" w:hAnsi="Century Gothic" w:cstheme="minorBidi"/>
                <w:noProof/>
                <w:sz w:val="22"/>
                <w:szCs w:val="22"/>
              </w:rPr>
              <w:tab/>
              <w:t xml:space="preserve">Otra relacionada con la vocación de servicio al prójimo, propio del sello valórico PUCV, contribuyendo a la solución de problemáticas comunitarias, desde la disciplina; </w:t>
            </w:r>
          </w:p>
          <w:p w14:paraId="66062E33" w14:textId="77777777" w:rsidR="00E616B6" w:rsidRPr="00A200BC" w:rsidRDefault="00E616B6" w:rsidP="00CD4F5D">
            <w:pPr>
              <w:rPr>
                <w:rFonts w:ascii="Century Gothic" w:hAnsi="Century Gothic" w:cstheme="minorBidi"/>
                <w:noProof/>
                <w:sz w:val="22"/>
                <w:szCs w:val="22"/>
              </w:rPr>
            </w:pPr>
            <w:r w:rsidRPr="00A200BC">
              <w:rPr>
                <w:rFonts w:ascii="Century Gothic" w:hAnsi="Century Gothic" w:cstheme="minorBidi"/>
                <w:noProof/>
                <w:sz w:val="22"/>
                <w:szCs w:val="22"/>
              </w:rPr>
              <w:t>c)</w:t>
            </w:r>
            <w:r w:rsidRPr="00A200BC">
              <w:rPr>
                <w:rFonts w:ascii="Century Gothic" w:hAnsi="Century Gothic" w:cstheme="minorBidi"/>
                <w:noProof/>
                <w:sz w:val="22"/>
                <w:szCs w:val="22"/>
              </w:rPr>
              <w:tab/>
              <w:t>Una tercera, correspondiente a la formación valórica de los estudiantes, en especial, la responsabilidad social, concebida desde su dimensión ética de respeto a la dignidad de la persona, el bien común y la sostenibilidad de nuestra casa común; una forma de ser y habitar el territorio que interpela a los estudiantes a actuar en solidaridad con el mundo real, y con la capacidad de gestionar éticamente los efectos de las propias decisiones y actuaciones a favor del bien común y la construcción de una sociedad más justa, fraterna, sostenible; a la vez que se pone a disposición de los beneficiarios los aprendizajes disciplinarios e interdisciplinarios, de modo de responder conjuntamente con los socios comunitarios a las necesidades diagnosticadas.</w:t>
            </w:r>
          </w:p>
          <w:p w14:paraId="162738DD" w14:textId="77777777" w:rsidR="00E616B6" w:rsidRPr="00A200BC" w:rsidRDefault="00E616B6" w:rsidP="00CD4F5D">
            <w:pPr>
              <w:rPr>
                <w:rFonts w:ascii="Century Gothic" w:hAnsi="Century Gothic"/>
                <w:sz w:val="22"/>
                <w:szCs w:val="22"/>
              </w:rPr>
            </w:pPr>
            <w:r w:rsidRPr="00A200BC">
              <w:rPr>
                <w:rFonts w:ascii="Century Gothic" w:hAnsi="Century Gothic" w:cstheme="minorBidi"/>
                <w:noProof/>
                <w:sz w:val="22"/>
                <w:szCs w:val="22"/>
              </w:rPr>
              <w:t>Durante la etapa de implementación, segundo semestre 2017,  el proceso reflexivo es un eje transversal, donde se relevan tres momentos vinculados a la interdisciplinariedad: el primero corresponderá a la interacción de los estudiantes de los tres cursos en torno al desafío que les genera su formación en vinculación solidaria con los habitantes del Barrio La Matriz; el segundo, focalizado en el desarrollo de sus habilidades de comunicación, liderazgo, trabajo en equipo interdisciplinario y de responsabilidad social; el tercero se concretará en una Jornada con la participación de docentes, estudiantes de las tres asignaturas y socios comunitarios, centrado en las experiencias grupales de la integración del A+S como estrategias didáctica del aprendizaje disciplinar e interdisciplinar.</w:t>
            </w:r>
          </w:p>
        </w:tc>
      </w:tr>
      <w:tr w:rsidR="00E616B6" w:rsidRPr="00A200BC" w14:paraId="0C5CF9B1" w14:textId="77777777" w:rsidTr="00CD4F5D">
        <w:tc>
          <w:tcPr>
            <w:tcW w:w="1783" w:type="dxa"/>
          </w:tcPr>
          <w:p w14:paraId="6CE8E21E" w14:textId="77777777" w:rsidR="00E616B6" w:rsidRPr="00A200BC" w:rsidRDefault="00E616B6" w:rsidP="00CD4F5D">
            <w:pPr>
              <w:rPr>
                <w:rFonts w:ascii="Century Gothic" w:hAnsi="Century Gothic"/>
                <w:sz w:val="22"/>
                <w:szCs w:val="22"/>
              </w:rPr>
            </w:pPr>
            <w:r w:rsidRPr="00A200BC">
              <w:rPr>
                <w:rFonts w:ascii="Century Gothic" w:hAnsi="Century Gothic"/>
                <w:sz w:val="22"/>
                <w:szCs w:val="22"/>
              </w:rPr>
              <w:lastRenderedPageBreak/>
              <w:t>Metodología</w:t>
            </w:r>
          </w:p>
        </w:tc>
        <w:tc>
          <w:tcPr>
            <w:tcW w:w="7045" w:type="dxa"/>
          </w:tcPr>
          <w:p w14:paraId="3D377DAD" w14:textId="77777777" w:rsidR="00E616B6" w:rsidRPr="00A200BC" w:rsidRDefault="00E616B6" w:rsidP="00CD4F5D">
            <w:pPr>
              <w:rPr>
                <w:rFonts w:ascii="Century Gothic" w:hAnsi="Century Gothic" w:cstheme="minorBidi"/>
                <w:noProof/>
                <w:sz w:val="22"/>
                <w:szCs w:val="22"/>
              </w:rPr>
            </w:pPr>
            <w:r w:rsidRPr="00A200BC">
              <w:rPr>
                <w:rFonts w:ascii="Century Gothic" w:hAnsi="Century Gothic" w:cstheme="minorBidi"/>
                <w:noProof/>
                <w:sz w:val="22"/>
                <w:szCs w:val="22"/>
              </w:rPr>
              <w:t xml:space="preserve">Dados los objetivos del estudio, una perspectiva cualitativa (Alvarez-Gayou, 2003), ya permite evidenciar mejor las construcciones sociales que emergen desde la aplicación de experiencias educativas en A+S. </w:t>
            </w:r>
          </w:p>
          <w:p w14:paraId="14DD3B87" w14:textId="77777777" w:rsidR="00E616B6" w:rsidRPr="00A200BC" w:rsidRDefault="00E616B6" w:rsidP="00CD4F5D">
            <w:pPr>
              <w:rPr>
                <w:rFonts w:ascii="Century Gothic" w:hAnsi="Century Gothic" w:cstheme="minorBidi"/>
                <w:noProof/>
                <w:sz w:val="22"/>
                <w:szCs w:val="22"/>
              </w:rPr>
            </w:pPr>
            <w:r w:rsidRPr="00A200BC">
              <w:rPr>
                <w:rFonts w:ascii="Century Gothic" w:hAnsi="Century Gothic" w:cstheme="minorBidi"/>
                <w:noProof/>
                <w:sz w:val="22"/>
                <w:szCs w:val="22"/>
              </w:rPr>
              <w:t xml:space="preserve">Por un lado, uUn enfoque autoetnográfico facilita el análisis sistemático de la experiencia personal, en este caso de los académicos, con el fin de comprender la experiencia cultural, y de este modo, enlazar desde la narrativa de los docentes, la experiencia vivida en lo interdisciplinar, los significados atribuidos a ella, reconociendo las claves sociales, políticas y estructurales que dan fidelidad a esta narración (Ellis, Adams&amp; Bochner, 2015). </w:t>
            </w:r>
            <w:r w:rsidRPr="00A200BC">
              <w:rPr>
                <w:rFonts w:ascii="Century Gothic" w:hAnsi="Century Gothic" w:cstheme="minorBidi"/>
                <w:noProof/>
                <w:sz w:val="22"/>
                <w:szCs w:val="22"/>
              </w:rPr>
              <w:lastRenderedPageBreak/>
              <w:t>La producción de datos se realiza mediante la sistematización y registro de las reflexiones en las reuniones de trabajo.</w:t>
            </w:r>
          </w:p>
          <w:p w14:paraId="0641702E" w14:textId="77777777" w:rsidR="00E616B6" w:rsidRPr="00A200BC" w:rsidRDefault="00E616B6" w:rsidP="00CD4F5D">
            <w:pPr>
              <w:rPr>
                <w:rFonts w:ascii="Century Gothic" w:hAnsi="Century Gothic" w:cstheme="minorBidi"/>
                <w:noProof/>
                <w:sz w:val="22"/>
                <w:szCs w:val="22"/>
              </w:rPr>
            </w:pPr>
            <w:r w:rsidRPr="00A200BC">
              <w:rPr>
                <w:rFonts w:ascii="Century Gothic" w:hAnsi="Century Gothic" w:cstheme="minorBidi"/>
                <w:noProof/>
                <w:sz w:val="22"/>
                <w:szCs w:val="22"/>
              </w:rPr>
              <w:t xml:space="preserve">Por otro lado, se realiza la combinación de dos técnicas al final del proyecto, entre entrevista grupal semiestructurada y lluvia de ideas, con la participación de socios comunitarios, docentes y estudiantes, elegida como técnica, pues nos aproxima al reconocimiento de la participación en el proceso desarrollado a lo largo del proyecto, donde una narrativa colectiva trasciende a la individual (Bleger, 1982). </w:t>
            </w:r>
          </w:p>
          <w:p w14:paraId="177948CA" w14:textId="77777777" w:rsidR="00E616B6" w:rsidRPr="00A200BC" w:rsidRDefault="00E616B6" w:rsidP="00CD4F5D">
            <w:pPr>
              <w:rPr>
                <w:rFonts w:ascii="Century Gothic" w:hAnsi="Century Gothic" w:cstheme="minorBidi"/>
                <w:noProof/>
                <w:sz w:val="22"/>
                <w:szCs w:val="22"/>
              </w:rPr>
            </w:pPr>
            <w:r w:rsidRPr="00A200BC">
              <w:rPr>
                <w:rFonts w:ascii="Century Gothic" w:hAnsi="Century Gothic" w:cstheme="minorBidi"/>
                <w:noProof/>
                <w:sz w:val="22"/>
                <w:szCs w:val="22"/>
              </w:rPr>
              <w:t>Para el análisis de datos se utiliza una estrategia inductiva, propia del enfoque etnográfico, así el análisis narrativo y la reinterpretación continua de estos análisis permite la emergencia de las categorías que dan cuenta de las percepciones y del proceso de construcción de las mismas.</w:t>
            </w:r>
          </w:p>
          <w:p w14:paraId="22EA2A14" w14:textId="77777777" w:rsidR="00E616B6" w:rsidRPr="00A200BC" w:rsidRDefault="00E616B6" w:rsidP="00CD4F5D">
            <w:pPr>
              <w:rPr>
                <w:rFonts w:ascii="Century Gothic" w:hAnsi="Century Gothic"/>
                <w:sz w:val="22"/>
                <w:szCs w:val="22"/>
              </w:rPr>
            </w:pPr>
          </w:p>
        </w:tc>
      </w:tr>
      <w:tr w:rsidR="00E616B6" w:rsidRPr="00A200BC" w14:paraId="5351C09E" w14:textId="77777777" w:rsidTr="00CD4F5D">
        <w:tc>
          <w:tcPr>
            <w:tcW w:w="1783" w:type="dxa"/>
          </w:tcPr>
          <w:p w14:paraId="65E3A628" w14:textId="77777777" w:rsidR="00E616B6" w:rsidRPr="00A200BC" w:rsidRDefault="00E616B6" w:rsidP="00CD4F5D">
            <w:pPr>
              <w:rPr>
                <w:rFonts w:ascii="Century Gothic" w:hAnsi="Century Gothic"/>
                <w:sz w:val="22"/>
                <w:szCs w:val="22"/>
              </w:rPr>
            </w:pPr>
            <w:r w:rsidRPr="00A200BC">
              <w:rPr>
                <w:rFonts w:ascii="Century Gothic" w:hAnsi="Century Gothic"/>
                <w:sz w:val="22"/>
                <w:szCs w:val="22"/>
              </w:rPr>
              <w:lastRenderedPageBreak/>
              <w:t>Resultado</w:t>
            </w:r>
          </w:p>
        </w:tc>
        <w:tc>
          <w:tcPr>
            <w:tcW w:w="7045" w:type="dxa"/>
          </w:tcPr>
          <w:p w14:paraId="696A48D6" w14:textId="77777777" w:rsidR="00E616B6" w:rsidRPr="00A200BC" w:rsidRDefault="00E616B6" w:rsidP="00CD4F5D">
            <w:pPr>
              <w:rPr>
                <w:rFonts w:ascii="Century Gothic" w:hAnsi="Century Gothic" w:cstheme="minorBidi"/>
                <w:noProof/>
                <w:sz w:val="22"/>
                <w:szCs w:val="22"/>
              </w:rPr>
            </w:pPr>
            <w:r w:rsidRPr="00A200BC">
              <w:rPr>
                <w:rFonts w:ascii="Century Gothic" w:hAnsi="Century Gothic" w:cstheme="minorBidi"/>
                <w:noProof/>
                <w:sz w:val="22"/>
                <w:szCs w:val="22"/>
              </w:rPr>
              <w:t>1. Resultados desde las preconcepciones de los docentes</w:t>
            </w:r>
          </w:p>
          <w:p w14:paraId="2D7920B2" w14:textId="77777777" w:rsidR="00E616B6" w:rsidRPr="00A200BC" w:rsidRDefault="00E616B6" w:rsidP="00CD4F5D">
            <w:pPr>
              <w:rPr>
                <w:rFonts w:ascii="Century Gothic" w:hAnsi="Century Gothic" w:cstheme="minorBidi"/>
                <w:noProof/>
                <w:sz w:val="22"/>
                <w:szCs w:val="22"/>
              </w:rPr>
            </w:pPr>
            <w:r w:rsidRPr="00A200BC">
              <w:rPr>
                <w:rFonts w:ascii="Century Gothic" w:hAnsi="Century Gothic" w:cstheme="minorBidi"/>
                <w:noProof/>
                <w:sz w:val="22"/>
                <w:szCs w:val="22"/>
              </w:rPr>
              <w:t>Con relación a los resultados de las preconcepciones de los docentes que se corresponden a la reflexión realizada por el grupo de docentes durante la primera etapa de proyectos de mejoramiento de la docencia con relación a tres asignaturas que se dictarán en el segundo semestre académico del año 2017, y las preconcepciones que surgen entre ellos a la hora de implementar la metodología de A+S desde una mirada interdisciplinaria. Este proceso metacognitivo de reflexión, hizo posible inferir, fundamentalmente, tres dimensiones, relacionadas con las preconcepciones de los docentes participantes:</w:t>
            </w:r>
          </w:p>
          <w:p w14:paraId="1AE8162C" w14:textId="77777777" w:rsidR="00E616B6" w:rsidRPr="00A200BC" w:rsidRDefault="00E616B6" w:rsidP="00CD4F5D">
            <w:pPr>
              <w:rPr>
                <w:rFonts w:ascii="Century Gothic" w:hAnsi="Century Gothic" w:cstheme="minorBidi"/>
                <w:noProof/>
                <w:sz w:val="22"/>
                <w:szCs w:val="22"/>
              </w:rPr>
            </w:pPr>
            <w:r w:rsidRPr="00A200BC">
              <w:rPr>
                <w:rFonts w:ascii="Century Gothic" w:hAnsi="Century Gothic" w:cstheme="minorBidi"/>
                <w:noProof/>
                <w:sz w:val="22"/>
                <w:szCs w:val="22"/>
              </w:rPr>
              <w:t>i.</w:t>
            </w:r>
            <w:r w:rsidRPr="00A200BC">
              <w:rPr>
                <w:rFonts w:ascii="Century Gothic" w:hAnsi="Century Gothic" w:cstheme="minorBidi"/>
                <w:noProof/>
                <w:sz w:val="22"/>
                <w:szCs w:val="22"/>
              </w:rPr>
              <w:tab/>
              <w:t xml:space="preserve">Aprender de otras experiencias, aunque las relaciones con los contenidos y entre estudiantes no son posibles de predecir </w:t>
            </w:r>
          </w:p>
          <w:p w14:paraId="54A750BA" w14:textId="77777777" w:rsidR="00E616B6" w:rsidRPr="00A200BC" w:rsidRDefault="00E616B6" w:rsidP="00CD4F5D">
            <w:pPr>
              <w:rPr>
                <w:rFonts w:ascii="Century Gothic" w:hAnsi="Century Gothic" w:cstheme="minorBidi"/>
                <w:noProof/>
                <w:sz w:val="22"/>
                <w:szCs w:val="22"/>
              </w:rPr>
            </w:pPr>
            <w:r w:rsidRPr="00A200BC">
              <w:rPr>
                <w:rFonts w:ascii="Century Gothic" w:hAnsi="Century Gothic" w:cstheme="minorBidi"/>
                <w:noProof/>
                <w:sz w:val="22"/>
                <w:szCs w:val="22"/>
              </w:rPr>
              <w:t>ii.</w:t>
            </w:r>
            <w:r w:rsidRPr="00A200BC">
              <w:rPr>
                <w:rFonts w:ascii="Century Gothic" w:hAnsi="Century Gothic" w:cstheme="minorBidi"/>
                <w:noProof/>
                <w:sz w:val="22"/>
                <w:szCs w:val="22"/>
              </w:rPr>
              <w:tab/>
              <w:t>Preconcepciones acerca de las posibilidades de implementación que se tensiona con el imperativo de contactar a los estudiantes con la realidad social</w:t>
            </w:r>
          </w:p>
          <w:p w14:paraId="31D0D8FF" w14:textId="77777777" w:rsidR="00E616B6" w:rsidRPr="00A200BC" w:rsidRDefault="00E616B6" w:rsidP="00CD4F5D">
            <w:pPr>
              <w:rPr>
                <w:rFonts w:ascii="Century Gothic" w:hAnsi="Century Gothic" w:cstheme="minorBidi"/>
                <w:noProof/>
                <w:sz w:val="22"/>
                <w:szCs w:val="22"/>
              </w:rPr>
            </w:pPr>
            <w:r w:rsidRPr="00A200BC">
              <w:rPr>
                <w:rFonts w:ascii="Century Gothic" w:hAnsi="Century Gothic" w:cstheme="minorBidi"/>
                <w:noProof/>
                <w:sz w:val="22"/>
                <w:szCs w:val="22"/>
              </w:rPr>
              <w:t>iii.</w:t>
            </w:r>
            <w:r w:rsidRPr="00A200BC">
              <w:rPr>
                <w:rFonts w:ascii="Century Gothic" w:hAnsi="Century Gothic" w:cstheme="minorBidi"/>
                <w:noProof/>
                <w:sz w:val="22"/>
                <w:szCs w:val="22"/>
              </w:rPr>
              <w:tab/>
              <w:t>El encuentro de las disciplinas desde el diálogo y las motivaciones de los docentes y estudiantes</w:t>
            </w:r>
          </w:p>
          <w:p w14:paraId="342177EB" w14:textId="77777777" w:rsidR="00E616B6" w:rsidRPr="00A200BC" w:rsidRDefault="00E616B6" w:rsidP="00CD4F5D">
            <w:pPr>
              <w:rPr>
                <w:rFonts w:ascii="Century Gothic" w:hAnsi="Century Gothic" w:cstheme="minorBidi"/>
                <w:noProof/>
                <w:sz w:val="22"/>
                <w:szCs w:val="22"/>
              </w:rPr>
            </w:pPr>
          </w:p>
          <w:p w14:paraId="03023E94" w14:textId="77777777" w:rsidR="00E616B6" w:rsidRPr="00A200BC" w:rsidRDefault="00E616B6" w:rsidP="00CD4F5D">
            <w:pPr>
              <w:rPr>
                <w:rFonts w:ascii="Century Gothic" w:hAnsi="Century Gothic" w:cstheme="minorBidi"/>
                <w:noProof/>
                <w:sz w:val="22"/>
                <w:szCs w:val="22"/>
              </w:rPr>
            </w:pPr>
            <w:r w:rsidRPr="00A200BC">
              <w:rPr>
                <w:rFonts w:ascii="Century Gothic" w:hAnsi="Century Gothic" w:cstheme="minorBidi"/>
                <w:noProof/>
                <w:sz w:val="22"/>
                <w:szCs w:val="22"/>
              </w:rPr>
              <w:t>2. Resultados desde las percepciones de docentes, estudiantes y socios comunitarios al finalizar el proyecto</w:t>
            </w:r>
          </w:p>
          <w:p w14:paraId="08275CD4" w14:textId="77777777" w:rsidR="00E616B6" w:rsidRPr="00A200BC" w:rsidRDefault="00E616B6" w:rsidP="00CD4F5D">
            <w:pPr>
              <w:rPr>
                <w:rFonts w:ascii="Century Gothic" w:hAnsi="Century Gothic" w:cstheme="minorBidi"/>
                <w:noProof/>
                <w:sz w:val="22"/>
                <w:szCs w:val="22"/>
              </w:rPr>
            </w:pPr>
            <w:r w:rsidRPr="00A200BC">
              <w:rPr>
                <w:rFonts w:ascii="Century Gothic" w:hAnsi="Century Gothic" w:cstheme="minorBidi"/>
                <w:noProof/>
                <w:sz w:val="22"/>
                <w:szCs w:val="22"/>
              </w:rPr>
              <w:t>Se genera una instancia que permite el intercambio de experiencias, aplicando una combinación de técnicas entre entrevista grupal semiestructurada y lluvia de ideas, sobre la base de tres preguntas: ¿Con qué me voy?, ¿Que dejé? y ¿Qué cambiaría?, respecto de las cuales, los resultados que surgen dice relación con:</w:t>
            </w:r>
          </w:p>
          <w:p w14:paraId="6920F92C" w14:textId="77777777" w:rsidR="00E616B6" w:rsidRPr="00A200BC" w:rsidRDefault="00E616B6" w:rsidP="00CD4F5D">
            <w:pPr>
              <w:rPr>
                <w:rFonts w:ascii="Century Gothic" w:hAnsi="Century Gothic" w:cstheme="minorBidi"/>
                <w:noProof/>
                <w:sz w:val="22"/>
                <w:szCs w:val="22"/>
              </w:rPr>
            </w:pPr>
            <w:r w:rsidRPr="00A200BC">
              <w:rPr>
                <w:rFonts w:ascii="Century Gothic" w:hAnsi="Century Gothic" w:cstheme="minorBidi"/>
                <w:noProof/>
                <w:sz w:val="22"/>
                <w:szCs w:val="22"/>
              </w:rPr>
              <w:t>i.</w:t>
            </w:r>
            <w:r w:rsidRPr="00A200BC">
              <w:rPr>
                <w:rFonts w:ascii="Century Gothic" w:hAnsi="Century Gothic" w:cstheme="minorBidi"/>
                <w:noProof/>
                <w:sz w:val="22"/>
                <w:szCs w:val="22"/>
              </w:rPr>
              <w:tab/>
              <w:t>Me voy con gratitud por la experiencia compartida</w:t>
            </w:r>
          </w:p>
          <w:p w14:paraId="3103FABF" w14:textId="77777777" w:rsidR="00E616B6" w:rsidRPr="00A200BC" w:rsidRDefault="00E616B6" w:rsidP="00CD4F5D">
            <w:pPr>
              <w:rPr>
                <w:rFonts w:ascii="Century Gothic" w:hAnsi="Century Gothic" w:cstheme="minorBidi"/>
                <w:noProof/>
                <w:sz w:val="22"/>
                <w:szCs w:val="22"/>
              </w:rPr>
            </w:pPr>
            <w:r w:rsidRPr="00A200BC">
              <w:rPr>
                <w:rFonts w:ascii="Century Gothic" w:hAnsi="Century Gothic" w:cstheme="minorBidi"/>
                <w:noProof/>
                <w:sz w:val="22"/>
                <w:szCs w:val="22"/>
              </w:rPr>
              <w:t>ii.</w:t>
            </w:r>
            <w:r w:rsidRPr="00A200BC">
              <w:rPr>
                <w:rFonts w:ascii="Century Gothic" w:hAnsi="Century Gothic" w:cstheme="minorBidi"/>
                <w:noProof/>
                <w:sz w:val="22"/>
                <w:szCs w:val="22"/>
              </w:rPr>
              <w:tab/>
              <w:t>Relaciones construidas desde lo afectivo</w:t>
            </w:r>
          </w:p>
          <w:p w14:paraId="00B73FEA" w14:textId="77777777" w:rsidR="00E616B6" w:rsidRPr="00A200BC" w:rsidRDefault="00E616B6" w:rsidP="00CD4F5D">
            <w:pPr>
              <w:rPr>
                <w:rFonts w:ascii="Century Gothic" w:hAnsi="Century Gothic" w:cstheme="minorBidi"/>
                <w:noProof/>
                <w:sz w:val="22"/>
                <w:szCs w:val="22"/>
              </w:rPr>
            </w:pPr>
            <w:r w:rsidRPr="00A200BC">
              <w:rPr>
                <w:rFonts w:ascii="Century Gothic" w:hAnsi="Century Gothic" w:cstheme="minorBidi"/>
                <w:noProof/>
                <w:sz w:val="22"/>
                <w:szCs w:val="22"/>
              </w:rPr>
              <w:t>iii.</w:t>
            </w:r>
            <w:r w:rsidRPr="00A200BC">
              <w:rPr>
                <w:rFonts w:ascii="Century Gothic" w:hAnsi="Century Gothic" w:cstheme="minorBidi"/>
                <w:noProof/>
                <w:sz w:val="22"/>
                <w:szCs w:val="22"/>
              </w:rPr>
              <w:tab/>
              <w:t>Desconocimiento de una estructura detrás</w:t>
            </w:r>
          </w:p>
          <w:p w14:paraId="111BB546" w14:textId="77777777" w:rsidR="00E616B6" w:rsidRPr="00A200BC" w:rsidRDefault="00E616B6" w:rsidP="00CD4F5D">
            <w:pPr>
              <w:rPr>
                <w:rFonts w:ascii="Century Gothic" w:hAnsi="Century Gothic" w:cstheme="minorBidi"/>
                <w:noProof/>
                <w:sz w:val="22"/>
                <w:szCs w:val="22"/>
              </w:rPr>
            </w:pPr>
          </w:p>
          <w:p w14:paraId="6F05F9EC" w14:textId="77777777" w:rsidR="00E616B6" w:rsidRPr="00A200BC" w:rsidRDefault="00E616B6" w:rsidP="00CD4F5D">
            <w:pPr>
              <w:rPr>
                <w:rFonts w:ascii="Century Gothic" w:hAnsi="Century Gothic"/>
                <w:sz w:val="22"/>
                <w:szCs w:val="22"/>
              </w:rPr>
            </w:pPr>
          </w:p>
        </w:tc>
      </w:tr>
      <w:tr w:rsidR="00E616B6" w:rsidRPr="00A200BC" w14:paraId="17A33ADF" w14:textId="77777777" w:rsidTr="00CD4F5D">
        <w:tc>
          <w:tcPr>
            <w:tcW w:w="1783" w:type="dxa"/>
          </w:tcPr>
          <w:p w14:paraId="02574299" w14:textId="77777777" w:rsidR="00E616B6" w:rsidRPr="00A200BC" w:rsidRDefault="00E616B6" w:rsidP="00CD4F5D">
            <w:pPr>
              <w:rPr>
                <w:rFonts w:ascii="Century Gothic" w:hAnsi="Century Gothic"/>
                <w:sz w:val="22"/>
                <w:szCs w:val="22"/>
              </w:rPr>
            </w:pPr>
            <w:r w:rsidRPr="00A200BC">
              <w:rPr>
                <w:rFonts w:ascii="Century Gothic" w:hAnsi="Century Gothic"/>
                <w:sz w:val="22"/>
                <w:szCs w:val="22"/>
              </w:rPr>
              <w:lastRenderedPageBreak/>
              <w:t>Conclusiones</w:t>
            </w:r>
          </w:p>
        </w:tc>
        <w:tc>
          <w:tcPr>
            <w:tcW w:w="7045" w:type="dxa"/>
          </w:tcPr>
          <w:p w14:paraId="68A288D9" w14:textId="77777777" w:rsidR="00E616B6" w:rsidRPr="00A200BC" w:rsidRDefault="00E616B6" w:rsidP="00CD4F5D">
            <w:pPr>
              <w:rPr>
                <w:rFonts w:ascii="Century Gothic" w:hAnsi="Century Gothic" w:cstheme="minorBidi"/>
                <w:noProof/>
                <w:sz w:val="22"/>
                <w:szCs w:val="22"/>
              </w:rPr>
            </w:pPr>
            <w:r w:rsidRPr="00A200BC">
              <w:rPr>
                <w:rFonts w:ascii="Century Gothic" w:hAnsi="Century Gothic" w:cstheme="minorBidi"/>
                <w:noProof/>
                <w:sz w:val="22"/>
                <w:szCs w:val="22"/>
              </w:rPr>
              <w:t>–</w:t>
            </w:r>
            <w:r w:rsidRPr="00A200BC">
              <w:rPr>
                <w:rFonts w:ascii="Century Gothic" w:hAnsi="Century Gothic" w:cstheme="minorBidi"/>
                <w:noProof/>
                <w:sz w:val="22"/>
                <w:szCs w:val="22"/>
              </w:rPr>
              <w:tab/>
              <w:t>La formación universitaria es percibida distante y segmentada de la experiencia vital, por lo que metodologías como estas permiten recuperar y resignificar la noción de vida universitaria, como un proceso vital reflexivo de la realidad, multicultural, integrador y en alteridad que atiende a la construcción del proyecto de vida de los estudiantes</w:t>
            </w:r>
          </w:p>
          <w:p w14:paraId="3E68DF8D" w14:textId="77777777" w:rsidR="00E616B6" w:rsidRPr="00A200BC" w:rsidRDefault="00E616B6" w:rsidP="00CD4F5D">
            <w:pPr>
              <w:rPr>
                <w:rFonts w:ascii="Century Gothic" w:hAnsi="Century Gothic" w:cstheme="minorBidi"/>
                <w:noProof/>
                <w:sz w:val="22"/>
                <w:szCs w:val="22"/>
              </w:rPr>
            </w:pPr>
            <w:r w:rsidRPr="00A200BC">
              <w:rPr>
                <w:rFonts w:ascii="Century Gothic" w:hAnsi="Century Gothic" w:cstheme="minorBidi"/>
                <w:noProof/>
                <w:sz w:val="22"/>
                <w:szCs w:val="22"/>
              </w:rPr>
              <w:t>–</w:t>
            </w:r>
            <w:r w:rsidRPr="00A200BC">
              <w:rPr>
                <w:rFonts w:ascii="Century Gothic" w:hAnsi="Century Gothic" w:cstheme="minorBidi"/>
                <w:noProof/>
                <w:sz w:val="22"/>
                <w:szCs w:val="22"/>
              </w:rPr>
              <w:tab/>
              <w:t>La sobreexposición de la experiencia afectiva por sobre lo técnico, supone el desafío curricular de lograr miradas integradoras de A+S, especialmente en el rol de facilitador y mediador que ejerce el docente, no solo como administrador de la asignatura sino como un tercer agente del proceso.</w:t>
            </w:r>
          </w:p>
          <w:p w14:paraId="5854F239" w14:textId="77777777" w:rsidR="00E616B6" w:rsidRPr="00A200BC" w:rsidRDefault="00E616B6" w:rsidP="00CD4F5D">
            <w:pPr>
              <w:rPr>
                <w:rFonts w:ascii="Century Gothic" w:hAnsi="Century Gothic" w:cstheme="minorBidi"/>
                <w:noProof/>
                <w:sz w:val="22"/>
                <w:szCs w:val="22"/>
              </w:rPr>
            </w:pPr>
            <w:r w:rsidRPr="00A200BC">
              <w:rPr>
                <w:rFonts w:ascii="Century Gothic" w:hAnsi="Century Gothic" w:cstheme="minorBidi"/>
                <w:noProof/>
                <w:sz w:val="22"/>
                <w:szCs w:val="22"/>
              </w:rPr>
              <w:t>–</w:t>
            </w:r>
            <w:r w:rsidRPr="00A200BC">
              <w:rPr>
                <w:rFonts w:ascii="Century Gothic" w:hAnsi="Century Gothic" w:cstheme="minorBidi"/>
                <w:noProof/>
                <w:sz w:val="22"/>
                <w:szCs w:val="22"/>
              </w:rPr>
              <w:tab/>
              <w:t>El gran desafío es transitar de la intervención a la co-transformación, permitiendo replicar creativamente semestre a semestre la experiencia recogida, construyendo una relación de confianza con el socio y de valoración mutua.</w:t>
            </w:r>
          </w:p>
          <w:p w14:paraId="4DDD51EB" w14:textId="77777777" w:rsidR="00E616B6" w:rsidRPr="00A200BC" w:rsidRDefault="00E616B6" w:rsidP="00CD4F5D">
            <w:pPr>
              <w:rPr>
                <w:rFonts w:ascii="Century Gothic" w:hAnsi="Century Gothic" w:cstheme="minorBidi"/>
                <w:noProof/>
                <w:sz w:val="22"/>
                <w:szCs w:val="22"/>
              </w:rPr>
            </w:pPr>
            <w:r w:rsidRPr="00A200BC">
              <w:rPr>
                <w:rFonts w:ascii="Century Gothic" w:hAnsi="Century Gothic" w:cstheme="minorBidi"/>
                <w:noProof/>
                <w:sz w:val="22"/>
                <w:szCs w:val="22"/>
              </w:rPr>
              <w:t>–</w:t>
            </w:r>
            <w:r w:rsidRPr="00A200BC">
              <w:rPr>
                <w:rFonts w:ascii="Century Gothic" w:hAnsi="Century Gothic" w:cstheme="minorBidi"/>
                <w:noProof/>
                <w:sz w:val="22"/>
                <w:szCs w:val="22"/>
              </w:rPr>
              <w:tab/>
              <w:t>La confluencia de todas las asignaturas en un mismo socio, ofrece la oportunidad de resolver la complejidad social desde diferentes miradas, sin embargo, no se evidenció que esta oportunidad haya estado presente</w:t>
            </w:r>
          </w:p>
          <w:p w14:paraId="3E9C7CB6" w14:textId="77777777" w:rsidR="00E616B6" w:rsidRPr="00A200BC" w:rsidRDefault="00E616B6" w:rsidP="00CD4F5D">
            <w:pPr>
              <w:rPr>
                <w:rFonts w:ascii="Century Gothic" w:hAnsi="Century Gothic" w:cstheme="minorBidi"/>
                <w:noProof/>
                <w:sz w:val="22"/>
                <w:szCs w:val="22"/>
              </w:rPr>
            </w:pPr>
            <w:r w:rsidRPr="00A200BC">
              <w:rPr>
                <w:rFonts w:ascii="Century Gothic" w:hAnsi="Century Gothic" w:cstheme="minorBidi"/>
                <w:noProof/>
                <w:sz w:val="22"/>
                <w:szCs w:val="22"/>
              </w:rPr>
              <w:t>–</w:t>
            </w:r>
            <w:r w:rsidRPr="00A200BC">
              <w:rPr>
                <w:rFonts w:ascii="Century Gothic" w:hAnsi="Century Gothic" w:cstheme="minorBidi"/>
                <w:noProof/>
                <w:sz w:val="22"/>
                <w:szCs w:val="22"/>
              </w:rPr>
              <w:tab/>
              <w:t>A+S como proceso, se sostiene sobre el tipo de relación afectiva que se establece lo que aporta gran fragilidad si no se hace una adecuada inducción o los docentes no se involucran proactivamente identificando potenciales focos de conflicto.</w:t>
            </w:r>
          </w:p>
          <w:p w14:paraId="146931E1" w14:textId="77777777" w:rsidR="00E616B6" w:rsidRPr="00A200BC" w:rsidRDefault="00E616B6" w:rsidP="00CD4F5D">
            <w:pPr>
              <w:rPr>
                <w:rFonts w:ascii="Century Gothic" w:hAnsi="Century Gothic" w:cstheme="minorBidi"/>
                <w:noProof/>
                <w:sz w:val="22"/>
                <w:szCs w:val="22"/>
              </w:rPr>
            </w:pPr>
            <w:r w:rsidRPr="00A200BC">
              <w:rPr>
                <w:rFonts w:ascii="Century Gothic" w:hAnsi="Century Gothic" w:cstheme="minorBidi"/>
                <w:noProof/>
                <w:sz w:val="22"/>
                <w:szCs w:val="22"/>
              </w:rPr>
              <w:t>–</w:t>
            </w:r>
            <w:r w:rsidRPr="00A200BC">
              <w:rPr>
                <w:rFonts w:ascii="Century Gothic" w:hAnsi="Century Gothic" w:cstheme="minorBidi"/>
                <w:noProof/>
                <w:sz w:val="22"/>
                <w:szCs w:val="22"/>
              </w:rPr>
              <w:tab/>
              <w:t>Por todo lo dicho, el pilar del proceso resulta en las formas e instancias de evaluación, comprendidas estas como una toma de datos que facilite la retroalimentación de todos los participantes en el proceso.</w:t>
            </w:r>
          </w:p>
          <w:p w14:paraId="22AB3D76" w14:textId="77777777" w:rsidR="00E616B6" w:rsidRPr="00A200BC" w:rsidRDefault="00E616B6" w:rsidP="00CD4F5D">
            <w:pPr>
              <w:rPr>
                <w:rFonts w:ascii="Century Gothic" w:hAnsi="Century Gothic" w:cstheme="minorBidi"/>
                <w:noProof/>
                <w:sz w:val="22"/>
                <w:szCs w:val="22"/>
              </w:rPr>
            </w:pPr>
            <w:r w:rsidRPr="00A200BC">
              <w:rPr>
                <w:rFonts w:ascii="Century Gothic" w:hAnsi="Century Gothic" w:cstheme="minorBidi"/>
                <w:noProof/>
                <w:sz w:val="22"/>
                <w:szCs w:val="22"/>
              </w:rPr>
              <w:t>–</w:t>
            </w:r>
            <w:r w:rsidRPr="00A200BC">
              <w:rPr>
                <w:rFonts w:ascii="Century Gothic" w:hAnsi="Century Gothic" w:cstheme="minorBidi"/>
                <w:noProof/>
                <w:sz w:val="22"/>
                <w:szCs w:val="22"/>
              </w:rPr>
              <w:tab/>
              <w:t>Se constata que se le atribuye a este camino de formación universitaria, la relevancia de constituirse en un espacio que fortalece la reflexión ética de las actuaciones propias y estudiantiles, como el asumir perspectivas reflexivas y co-transformadoras interdisciplinarias en el desarrollo de la docencia realizada. Se puede decir, que, se teje un camino que corrobora lo señalado por Jiménez et al. (2015), al poner en el centro una ética de la responsabilidad social, que tiene en cuenta tanto el cómo afectará el quehacer disciplinar e interdisciplinar, tanto en la dimensión ecológica como en los rostros de los seres humanos, que demandan una respuesta por las acciones emprendidas.</w:t>
            </w:r>
          </w:p>
          <w:p w14:paraId="1E619E9A" w14:textId="77777777" w:rsidR="00E616B6" w:rsidRPr="00A200BC" w:rsidRDefault="00E616B6" w:rsidP="00CD4F5D">
            <w:pPr>
              <w:rPr>
                <w:rFonts w:ascii="Century Gothic" w:hAnsi="Century Gothic" w:cstheme="minorBidi"/>
                <w:noProof/>
                <w:sz w:val="22"/>
                <w:szCs w:val="22"/>
              </w:rPr>
            </w:pPr>
            <w:r w:rsidRPr="00A200BC">
              <w:rPr>
                <w:rFonts w:ascii="Century Gothic" w:hAnsi="Century Gothic" w:cstheme="minorBidi"/>
                <w:noProof/>
                <w:sz w:val="22"/>
                <w:szCs w:val="22"/>
              </w:rPr>
              <w:t>–</w:t>
            </w:r>
            <w:r w:rsidRPr="00A200BC">
              <w:rPr>
                <w:rFonts w:ascii="Century Gothic" w:hAnsi="Century Gothic" w:cstheme="minorBidi"/>
                <w:noProof/>
                <w:sz w:val="22"/>
                <w:szCs w:val="22"/>
              </w:rPr>
              <w:tab/>
              <w:t>Por último, el aprendizaje experiencial de lo interdisciplinario, da cuenta de la urgencia para avanzar en este sentido, en especial a través de iniciativas de A+S, con la concurrencia de equipos de académicos, de lo contrario se dificulta el desempeño profesional en un mundo complejo e interconectado</w:t>
            </w:r>
          </w:p>
          <w:p w14:paraId="220E3F68" w14:textId="77777777" w:rsidR="00E616B6" w:rsidRPr="00A200BC" w:rsidRDefault="00E616B6" w:rsidP="00CD4F5D">
            <w:pPr>
              <w:rPr>
                <w:rFonts w:ascii="Century Gothic" w:hAnsi="Century Gothic"/>
                <w:sz w:val="22"/>
                <w:szCs w:val="22"/>
              </w:rPr>
            </w:pPr>
          </w:p>
        </w:tc>
      </w:tr>
      <w:tr w:rsidR="00E616B6" w:rsidRPr="00A200BC" w14:paraId="56FCBE66" w14:textId="77777777" w:rsidTr="00CD4F5D">
        <w:tc>
          <w:tcPr>
            <w:tcW w:w="1783" w:type="dxa"/>
          </w:tcPr>
          <w:p w14:paraId="6C16386D" w14:textId="77777777" w:rsidR="00E616B6" w:rsidRPr="00A200BC" w:rsidRDefault="00E616B6" w:rsidP="00CD4F5D">
            <w:pPr>
              <w:rPr>
                <w:rFonts w:ascii="Century Gothic" w:hAnsi="Century Gothic"/>
                <w:sz w:val="22"/>
                <w:szCs w:val="22"/>
              </w:rPr>
            </w:pPr>
            <w:r w:rsidRPr="00A200BC">
              <w:rPr>
                <w:rFonts w:ascii="Century Gothic" w:hAnsi="Century Gothic"/>
                <w:sz w:val="22"/>
                <w:szCs w:val="22"/>
              </w:rPr>
              <w:t>Bibliografía</w:t>
            </w:r>
          </w:p>
        </w:tc>
        <w:tc>
          <w:tcPr>
            <w:tcW w:w="7045" w:type="dxa"/>
          </w:tcPr>
          <w:p w14:paraId="7FC4E3D2" w14:textId="77777777" w:rsidR="001D7A16" w:rsidRPr="00A200BC" w:rsidRDefault="001D7A16" w:rsidP="001D7A16">
            <w:pPr>
              <w:rPr>
                <w:rFonts w:ascii="Century Gothic" w:eastAsia="Times New Roman" w:hAnsi="Century Gothic" w:cs="Arial"/>
                <w:sz w:val="20"/>
                <w:szCs w:val="20"/>
              </w:rPr>
            </w:pPr>
            <w:r w:rsidRPr="001D7A16">
              <w:rPr>
                <w:rFonts w:ascii="Century Gothic" w:eastAsia="Times New Roman" w:hAnsi="Century Gothic" w:cs="Arial"/>
                <w:sz w:val="20"/>
                <w:szCs w:val="20"/>
              </w:rPr>
              <w:t>- Álvarez-</w:t>
            </w:r>
            <w:proofErr w:type="spellStart"/>
            <w:r w:rsidRPr="001D7A16">
              <w:rPr>
                <w:rFonts w:ascii="Century Gothic" w:eastAsia="Times New Roman" w:hAnsi="Century Gothic" w:cs="Arial"/>
                <w:sz w:val="20"/>
                <w:szCs w:val="20"/>
              </w:rPr>
              <w:t>Gayou</w:t>
            </w:r>
            <w:proofErr w:type="spellEnd"/>
            <w:r w:rsidRPr="001D7A16">
              <w:rPr>
                <w:rFonts w:ascii="Century Gothic" w:eastAsia="Times New Roman" w:hAnsi="Century Gothic" w:cs="Arial"/>
                <w:sz w:val="20"/>
                <w:szCs w:val="20"/>
              </w:rPr>
              <w:t>, J. (2003). Cómo hacer investigación cualitativa. Fundamentos y   metodología. México: Paidós.</w:t>
            </w:r>
            <w:r w:rsidRPr="001D7A16">
              <w:rPr>
                <w:rFonts w:ascii="Century Gothic" w:eastAsia="Times New Roman" w:hAnsi="Century Gothic" w:cs="Arial"/>
                <w:sz w:val="20"/>
                <w:szCs w:val="20"/>
              </w:rPr>
              <w:br/>
            </w:r>
            <w:r w:rsidRPr="001D7A16">
              <w:rPr>
                <w:rFonts w:ascii="Century Gothic" w:eastAsia="Times New Roman" w:hAnsi="Century Gothic" w:cs="Arial"/>
                <w:sz w:val="20"/>
                <w:szCs w:val="20"/>
              </w:rPr>
              <w:lastRenderedPageBreak/>
              <w:t>- Bleger, J. (1982) Temas de psicología: entrevista y grupos. Ediciones Nueva Visión. Buenos Aires, Argentina. 177p.</w:t>
            </w:r>
            <w:r w:rsidRPr="001D7A16">
              <w:rPr>
                <w:rFonts w:ascii="Century Gothic" w:eastAsia="Times New Roman" w:hAnsi="Century Gothic" w:cs="Arial"/>
                <w:sz w:val="20"/>
                <w:szCs w:val="20"/>
              </w:rPr>
              <w:br/>
              <w:t xml:space="preserve">- Ellis, C.; Adams T. &amp; </w:t>
            </w:r>
            <w:proofErr w:type="spellStart"/>
            <w:r w:rsidRPr="001D7A16">
              <w:rPr>
                <w:rFonts w:ascii="Century Gothic" w:eastAsia="Times New Roman" w:hAnsi="Century Gothic" w:cs="Arial"/>
                <w:sz w:val="20"/>
                <w:szCs w:val="20"/>
              </w:rPr>
              <w:t>Bochner</w:t>
            </w:r>
            <w:proofErr w:type="spellEnd"/>
            <w:r w:rsidRPr="001D7A16">
              <w:rPr>
                <w:rFonts w:ascii="Century Gothic" w:eastAsia="Times New Roman" w:hAnsi="Century Gothic" w:cs="Arial"/>
                <w:sz w:val="20"/>
                <w:szCs w:val="20"/>
              </w:rPr>
              <w:t xml:space="preserve">, A. (2015) </w:t>
            </w:r>
            <w:proofErr w:type="spellStart"/>
            <w:r w:rsidRPr="001D7A16">
              <w:rPr>
                <w:rFonts w:ascii="Century Gothic" w:eastAsia="Times New Roman" w:hAnsi="Century Gothic" w:cs="Arial"/>
                <w:sz w:val="20"/>
                <w:szCs w:val="20"/>
              </w:rPr>
              <w:t>Autoetnografía</w:t>
            </w:r>
            <w:proofErr w:type="spellEnd"/>
            <w:r w:rsidRPr="001D7A16">
              <w:rPr>
                <w:rFonts w:ascii="Century Gothic" w:eastAsia="Times New Roman" w:hAnsi="Century Gothic" w:cs="Arial"/>
                <w:sz w:val="20"/>
                <w:szCs w:val="20"/>
              </w:rPr>
              <w:t xml:space="preserve">: un panorama. </w:t>
            </w:r>
            <w:proofErr w:type="spellStart"/>
            <w:r w:rsidRPr="00054C1E">
              <w:rPr>
                <w:rFonts w:ascii="Century Gothic" w:eastAsia="Times New Roman" w:hAnsi="Century Gothic" w:cs="Arial"/>
                <w:sz w:val="20"/>
                <w:szCs w:val="20"/>
                <w:lang w:val="en-US"/>
              </w:rPr>
              <w:t>Astrolabio</w:t>
            </w:r>
            <w:proofErr w:type="spellEnd"/>
            <w:r w:rsidRPr="00054C1E">
              <w:rPr>
                <w:rFonts w:ascii="Century Gothic" w:eastAsia="Times New Roman" w:hAnsi="Century Gothic" w:cs="Arial"/>
                <w:sz w:val="20"/>
                <w:szCs w:val="20"/>
                <w:lang w:val="en-US"/>
              </w:rPr>
              <w:t>. 1(14)249-273</w:t>
            </w:r>
            <w:r w:rsidRPr="00054C1E">
              <w:rPr>
                <w:rFonts w:ascii="Century Gothic" w:eastAsia="Times New Roman" w:hAnsi="Century Gothic" w:cs="Arial"/>
                <w:sz w:val="20"/>
                <w:szCs w:val="20"/>
                <w:lang w:val="en-US"/>
              </w:rPr>
              <w:br/>
              <w:t xml:space="preserve">- </w:t>
            </w:r>
            <w:proofErr w:type="spellStart"/>
            <w:r w:rsidRPr="00054C1E">
              <w:rPr>
                <w:rFonts w:ascii="Century Gothic" w:eastAsia="Times New Roman" w:hAnsi="Century Gothic" w:cs="Arial"/>
                <w:sz w:val="20"/>
                <w:szCs w:val="20"/>
                <w:lang w:val="en-US"/>
              </w:rPr>
              <w:t>Furco</w:t>
            </w:r>
            <w:proofErr w:type="spellEnd"/>
            <w:r w:rsidRPr="00054C1E">
              <w:rPr>
                <w:rFonts w:ascii="Century Gothic" w:eastAsia="Times New Roman" w:hAnsi="Century Gothic" w:cs="Arial"/>
                <w:sz w:val="20"/>
                <w:szCs w:val="20"/>
                <w:lang w:val="en-US"/>
              </w:rPr>
              <w:t xml:space="preserve">, A. y S, </w:t>
            </w:r>
            <w:proofErr w:type="spellStart"/>
            <w:r w:rsidRPr="00054C1E">
              <w:rPr>
                <w:rFonts w:ascii="Century Gothic" w:eastAsia="Times New Roman" w:hAnsi="Century Gothic" w:cs="Arial"/>
                <w:sz w:val="20"/>
                <w:szCs w:val="20"/>
                <w:lang w:val="en-US"/>
              </w:rPr>
              <w:t>Billig</w:t>
            </w:r>
            <w:proofErr w:type="spellEnd"/>
            <w:r w:rsidRPr="00054C1E">
              <w:rPr>
                <w:rFonts w:ascii="Century Gothic" w:eastAsia="Times New Roman" w:hAnsi="Century Gothic" w:cs="Arial"/>
                <w:sz w:val="20"/>
                <w:szCs w:val="20"/>
                <w:lang w:val="en-US"/>
              </w:rPr>
              <w:t xml:space="preserve">, (2002) Service learning: the essence of pedagogy. </w:t>
            </w:r>
            <w:r w:rsidRPr="001D7A16">
              <w:rPr>
                <w:rFonts w:ascii="Century Gothic" w:eastAsia="Times New Roman" w:hAnsi="Century Gothic" w:cs="Arial"/>
                <w:sz w:val="20"/>
                <w:szCs w:val="20"/>
              </w:rPr>
              <w:t>Connecticut, IAP.</w:t>
            </w:r>
            <w:r w:rsidRPr="001D7A16">
              <w:rPr>
                <w:rFonts w:ascii="Century Gothic" w:eastAsia="Times New Roman" w:hAnsi="Century Gothic" w:cs="Arial"/>
                <w:sz w:val="20"/>
                <w:szCs w:val="20"/>
              </w:rPr>
              <w:br/>
              <w:t>- Gamboa, A. Jiménez G.; Jiménez M.; Lombardo, P. (2014). Formación en Responsabilidad Pro-social. Caminos Latinoamericanos de una Innovación Curricular. SPRING. http://www.spring-alfa-pucv.cl/category/publicaciones</w:t>
            </w:r>
            <w:r w:rsidRPr="001D7A16">
              <w:rPr>
                <w:rFonts w:ascii="Century Gothic" w:eastAsia="Times New Roman" w:hAnsi="Century Gothic" w:cs="Arial"/>
                <w:sz w:val="20"/>
                <w:szCs w:val="20"/>
              </w:rPr>
              <w:br/>
              <w:t xml:space="preserve">- </w:t>
            </w:r>
            <w:proofErr w:type="spellStart"/>
            <w:r w:rsidRPr="001D7A16">
              <w:rPr>
                <w:rFonts w:ascii="Century Gothic" w:eastAsia="Times New Roman" w:hAnsi="Century Gothic" w:cs="Arial"/>
                <w:sz w:val="20"/>
                <w:szCs w:val="20"/>
              </w:rPr>
              <w:t>Jouannet</w:t>
            </w:r>
            <w:proofErr w:type="spellEnd"/>
            <w:r w:rsidRPr="001D7A16">
              <w:rPr>
                <w:rFonts w:ascii="Century Gothic" w:eastAsia="Times New Roman" w:hAnsi="Century Gothic" w:cs="Arial"/>
                <w:sz w:val="20"/>
                <w:szCs w:val="20"/>
              </w:rPr>
              <w:t>, Ch., Salas, M., &amp; Contreras, M. (2013). Modelo de implementación de Aprendizaje Servicio (A+S) en la UC: Una experiencia que impacta positivamente en la formación profesional integral. Calidad en la educación, (39), 197-212. https://dx.doi.org/10.4067/S0718-45652013000200007</w:t>
            </w:r>
            <w:r w:rsidRPr="001D7A16">
              <w:rPr>
                <w:rFonts w:ascii="Century Gothic" w:eastAsia="Times New Roman" w:hAnsi="Century Gothic" w:cs="Arial"/>
                <w:sz w:val="20"/>
                <w:szCs w:val="20"/>
              </w:rPr>
              <w:br/>
              <w:t>- Morín, E. (2010). Sobre la Interdisciplinariedad. Publicaciones ECESI, Colombia.</w:t>
            </w:r>
            <w:r w:rsidRPr="001D7A16">
              <w:rPr>
                <w:rFonts w:ascii="Century Gothic" w:eastAsia="Times New Roman" w:hAnsi="Century Gothic" w:cs="Arial"/>
                <w:sz w:val="20"/>
                <w:szCs w:val="20"/>
              </w:rPr>
              <w:br/>
              <w:t>- PUCV. (2008). Pontificia Universidad Católica de Valparaíso. Competencias Genéricas de Formación Fundamental.</w:t>
            </w:r>
            <w:r w:rsidRPr="001D7A16">
              <w:rPr>
                <w:rFonts w:ascii="Century Gothic" w:eastAsia="Times New Roman" w:hAnsi="Century Gothic" w:cs="Arial"/>
                <w:sz w:val="20"/>
                <w:szCs w:val="20"/>
              </w:rPr>
              <w:br/>
              <w:t xml:space="preserve">- </w:t>
            </w:r>
            <w:proofErr w:type="spellStart"/>
            <w:r w:rsidRPr="001D7A16">
              <w:rPr>
                <w:rFonts w:ascii="Century Gothic" w:eastAsia="Times New Roman" w:hAnsi="Century Gothic" w:cs="Arial"/>
                <w:sz w:val="20"/>
                <w:szCs w:val="20"/>
              </w:rPr>
              <w:t>Xarur</w:t>
            </w:r>
            <w:proofErr w:type="spellEnd"/>
            <w:r w:rsidRPr="001D7A16">
              <w:rPr>
                <w:rFonts w:ascii="Century Gothic" w:eastAsia="Times New Roman" w:hAnsi="Century Gothic" w:cs="Arial"/>
                <w:sz w:val="20"/>
                <w:szCs w:val="20"/>
              </w:rPr>
              <w:t>, M. (2008) La reflexión sobre la responsabilidad social universitaria –RSU y su sentido para la educación superior en la sociedad latinoamericana y caribeña. Educación Superior y Sociedad. UNESCO</w:t>
            </w:r>
          </w:p>
          <w:p w14:paraId="04EEC4B3" w14:textId="1F9A2288" w:rsidR="00E616B6" w:rsidRPr="00A200BC" w:rsidRDefault="00E616B6" w:rsidP="00CD4F5D">
            <w:pPr>
              <w:rPr>
                <w:rFonts w:ascii="Century Gothic" w:hAnsi="Century Gothic"/>
                <w:sz w:val="22"/>
                <w:szCs w:val="22"/>
              </w:rPr>
            </w:pPr>
          </w:p>
        </w:tc>
      </w:tr>
      <w:tr w:rsidR="00E616B6" w:rsidRPr="00A200BC" w14:paraId="6AA4F2A9" w14:textId="77777777" w:rsidTr="001D7A16">
        <w:trPr>
          <w:trHeight w:val="516"/>
        </w:trPr>
        <w:tc>
          <w:tcPr>
            <w:tcW w:w="1783" w:type="dxa"/>
          </w:tcPr>
          <w:p w14:paraId="392131D0" w14:textId="77777777" w:rsidR="00E616B6" w:rsidRPr="00A200BC" w:rsidRDefault="00E616B6" w:rsidP="00CD4F5D">
            <w:pPr>
              <w:rPr>
                <w:rFonts w:ascii="Century Gothic" w:hAnsi="Century Gothic"/>
                <w:sz w:val="22"/>
                <w:szCs w:val="22"/>
              </w:rPr>
            </w:pPr>
            <w:r w:rsidRPr="00A200BC">
              <w:rPr>
                <w:rFonts w:ascii="Century Gothic" w:hAnsi="Century Gothic"/>
                <w:sz w:val="22"/>
                <w:szCs w:val="22"/>
              </w:rPr>
              <w:lastRenderedPageBreak/>
              <w:t>Evidencia</w:t>
            </w:r>
          </w:p>
        </w:tc>
        <w:tc>
          <w:tcPr>
            <w:tcW w:w="7045" w:type="dxa"/>
          </w:tcPr>
          <w:p w14:paraId="4980BB79" w14:textId="77777777" w:rsidR="00E616B6" w:rsidRPr="00A200BC" w:rsidRDefault="00E616B6" w:rsidP="00CD4F5D">
            <w:pPr>
              <w:rPr>
                <w:rFonts w:ascii="Century Gothic" w:hAnsi="Century Gothic"/>
                <w:sz w:val="22"/>
                <w:szCs w:val="22"/>
              </w:rPr>
            </w:pPr>
            <w:r w:rsidRPr="00A200BC">
              <w:rPr>
                <w:rFonts w:ascii="Century Gothic" w:hAnsi="Century Gothic" w:cstheme="minorBidi"/>
                <w:noProof/>
                <w:sz w:val="22"/>
                <w:szCs w:val="22"/>
              </w:rPr>
              <w:t>https://drive.google.com/open?id=17nWxE6jfrwnk1oG62jKaMnFDn-lzggCT</w:t>
            </w:r>
          </w:p>
        </w:tc>
      </w:tr>
    </w:tbl>
    <w:p w14:paraId="54FE3833" w14:textId="77777777" w:rsidR="00CA6DF3" w:rsidRPr="00A200BC" w:rsidRDefault="00CA6DF3">
      <w:pPr>
        <w:rPr>
          <w:rFonts w:ascii="Century Gothic" w:hAnsi="Century Gothic"/>
        </w:rPr>
      </w:pPr>
    </w:p>
    <w:sectPr w:rsidR="00CA6DF3" w:rsidRPr="00A200BC" w:rsidSect="00AC4CE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6B6"/>
    <w:rsid w:val="00054C1E"/>
    <w:rsid w:val="001D7A16"/>
    <w:rsid w:val="00A13E5F"/>
    <w:rsid w:val="00A200BC"/>
    <w:rsid w:val="00AC4CE1"/>
    <w:rsid w:val="00CA6DF3"/>
    <w:rsid w:val="00E250F3"/>
    <w:rsid w:val="00E616B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4C04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A16"/>
    <w:rPr>
      <w:rFonts w:ascii="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61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082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2166</Words>
  <Characters>11915</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Campos</dc:creator>
  <cp:keywords/>
  <dc:description/>
  <cp:lastModifiedBy>Usuario</cp:lastModifiedBy>
  <cp:revision>3</cp:revision>
  <dcterms:created xsi:type="dcterms:W3CDTF">2017-12-25T22:47:00Z</dcterms:created>
  <dcterms:modified xsi:type="dcterms:W3CDTF">2017-12-25T22:47:00Z</dcterms:modified>
</cp:coreProperties>
</file>